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770A" w14:textId="4557EC21" w:rsidR="00FE29FF" w:rsidRPr="002B4AFC" w:rsidRDefault="00FE29FF" w:rsidP="00FE29FF">
      <w:pPr>
        <w:pStyle w:val="Heading1"/>
        <w:rPr>
          <w:b/>
          <w:bCs/>
          <w:color w:val="646464" w:themeColor="accent5"/>
        </w:rPr>
      </w:pPr>
      <w:r w:rsidRPr="002B4AFC">
        <w:rPr>
          <w:b/>
          <w:bCs/>
          <w:color w:val="646464" w:themeColor="accent5"/>
        </w:rPr>
        <w:t xml:space="preserve">Quick guide to budget changes for members of the Local Government Pension Scheme </w:t>
      </w:r>
    </w:p>
    <w:p w14:paraId="3356202A" w14:textId="0CD28BE2" w:rsidR="00FE29FF" w:rsidRDefault="00FE29FF" w:rsidP="00FE29FF">
      <w:pPr>
        <w:pStyle w:val="BodyTextGrey"/>
      </w:pPr>
      <w:r>
        <w:t>This guide provides members of the LGPS with a summary of the main pension related changes contained in the budget of the 15 March 2023.</w:t>
      </w:r>
    </w:p>
    <w:p w14:paraId="044D098A" w14:textId="74B959A9" w:rsidR="00ED3265" w:rsidRPr="002A7222" w:rsidRDefault="00ED3265" w:rsidP="002A7222">
      <w:pPr>
        <w:pStyle w:val="BodyTextGrey"/>
        <w:spacing w:after="0"/>
        <w:rPr>
          <w:b/>
          <w:bCs/>
        </w:rPr>
      </w:pPr>
      <w:r w:rsidRPr="002A7222">
        <w:rPr>
          <w:b/>
          <w:bCs/>
        </w:rPr>
        <w:t xml:space="preserve">Summary of </w:t>
      </w:r>
      <w:r w:rsidR="00B245A1" w:rsidRPr="002A7222">
        <w:rPr>
          <w:b/>
          <w:bCs/>
        </w:rPr>
        <w:t>the main points</w:t>
      </w:r>
    </w:p>
    <w:p w14:paraId="39FC1FDF" w14:textId="53168FB8" w:rsidR="00ED3265" w:rsidRPr="00B245A1" w:rsidRDefault="00ED3265" w:rsidP="00B245A1">
      <w:pPr>
        <w:pStyle w:val="BodyTextGrey"/>
        <w:numPr>
          <w:ilvl w:val="0"/>
          <w:numId w:val="12"/>
        </w:numPr>
      </w:pPr>
      <w:r w:rsidRPr="00B245A1">
        <w:t xml:space="preserve">Removal of the Lifetime Allowance </w:t>
      </w:r>
      <w:r w:rsidR="00BD00BD" w:rsidRPr="00B245A1">
        <w:t>(LTA)</w:t>
      </w:r>
      <w:r w:rsidR="00BD00BD">
        <w:t xml:space="preserve"> </w:t>
      </w:r>
      <w:r w:rsidRPr="00B245A1">
        <w:t xml:space="preserve">charge </w:t>
      </w:r>
    </w:p>
    <w:p w14:paraId="5A1B5992" w14:textId="707521C0" w:rsidR="00ED3265" w:rsidRPr="00B245A1" w:rsidRDefault="00ED3265" w:rsidP="00B245A1">
      <w:pPr>
        <w:pStyle w:val="BodyTextGrey"/>
        <w:numPr>
          <w:ilvl w:val="0"/>
          <w:numId w:val="12"/>
        </w:numPr>
      </w:pPr>
      <w:r w:rsidRPr="00B245A1">
        <w:t xml:space="preserve">Maximum </w:t>
      </w:r>
      <w:r w:rsidR="00B245A1" w:rsidRPr="00B245A1">
        <w:t>tax-free</w:t>
      </w:r>
      <w:r w:rsidRPr="00B245A1">
        <w:t xml:space="preserve"> </w:t>
      </w:r>
      <w:r w:rsidR="00B75E06">
        <w:t>l</w:t>
      </w:r>
      <w:r w:rsidRPr="00B245A1">
        <w:t xml:space="preserve">ump </w:t>
      </w:r>
      <w:r w:rsidR="00B75E06">
        <w:t>s</w:t>
      </w:r>
      <w:r w:rsidRPr="00B245A1">
        <w:t xml:space="preserve">um of £268,275 for most members </w:t>
      </w:r>
    </w:p>
    <w:p w14:paraId="71923CF5" w14:textId="144873F1" w:rsidR="00B245A1" w:rsidRPr="00B245A1" w:rsidRDefault="00B245A1" w:rsidP="00B245A1">
      <w:pPr>
        <w:pStyle w:val="BodyTextGrey"/>
        <w:numPr>
          <w:ilvl w:val="0"/>
          <w:numId w:val="12"/>
        </w:numPr>
      </w:pPr>
      <w:r w:rsidRPr="00B245A1">
        <w:t xml:space="preserve">Members with certain protections continue to receive a larger tax-free lump </w:t>
      </w:r>
      <w:proofErr w:type="gramStart"/>
      <w:r w:rsidRPr="00B245A1">
        <w:t>sum</w:t>
      </w:r>
      <w:proofErr w:type="gramEnd"/>
    </w:p>
    <w:p w14:paraId="3A9490C2" w14:textId="401C8596" w:rsidR="00B245A1" w:rsidRPr="00B245A1" w:rsidRDefault="00B245A1" w:rsidP="00B245A1">
      <w:pPr>
        <w:pStyle w:val="BodyTextGrey"/>
        <w:numPr>
          <w:ilvl w:val="0"/>
          <w:numId w:val="12"/>
        </w:numPr>
      </w:pPr>
      <w:r w:rsidRPr="00B245A1">
        <w:t xml:space="preserve">Changes to how Lifetime Allowance </w:t>
      </w:r>
      <w:r>
        <w:t>excess l</w:t>
      </w:r>
      <w:r w:rsidRPr="00B245A1">
        <w:t xml:space="preserve">ump </w:t>
      </w:r>
      <w:r>
        <w:t>s</w:t>
      </w:r>
      <w:r w:rsidRPr="00B245A1">
        <w:t xml:space="preserve">ums are </w:t>
      </w:r>
      <w:proofErr w:type="gramStart"/>
      <w:r w:rsidRPr="00B245A1">
        <w:t>taxed</w:t>
      </w:r>
      <w:proofErr w:type="gramEnd"/>
    </w:p>
    <w:p w14:paraId="0817B995" w14:textId="1C01D7C1" w:rsidR="00B245A1" w:rsidRPr="00B245A1" w:rsidRDefault="00B245A1" w:rsidP="00B245A1">
      <w:pPr>
        <w:pStyle w:val="BodyTextGrey"/>
        <w:numPr>
          <w:ilvl w:val="0"/>
          <w:numId w:val="12"/>
        </w:numPr>
      </w:pPr>
      <w:r w:rsidRPr="00B245A1">
        <w:t xml:space="preserve">Increase in the Annual Allowance from £40,000 to £60,000 for the 2023/24 tax </w:t>
      </w:r>
      <w:proofErr w:type="gramStart"/>
      <w:r w:rsidRPr="00B245A1">
        <w:t>year</w:t>
      </w:r>
      <w:proofErr w:type="gramEnd"/>
    </w:p>
    <w:p w14:paraId="2F81EC3C" w14:textId="7642747E" w:rsidR="00B245A1" w:rsidRDefault="00B245A1" w:rsidP="00B245A1">
      <w:pPr>
        <w:pStyle w:val="BodyTextGrey"/>
        <w:numPr>
          <w:ilvl w:val="0"/>
          <w:numId w:val="12"/>
        </w:numPr>
      </w:pPr>
      <w:r w:rsidRPr="00B245A1">
        <w:t>The tapered Annual Allowance will now apply</w:t>
      </w:r>
      <w:r w:rsidR="001B74AE">
        <w:t xml:space="preserve"> for</w:t>
      </w:r>
      <w:r w:rsidRPr="00B245A1">
        <w:t xml:space="preserve"> those with threshold income of £260,000 (rising from £240,000</w:t>
      </w:r>
    </w:p>
    <w:p w14:paraId="0B51D383" w14:textId="67C7DC1C" w:rsidR="00EB3254" w:rsidRDefault="00790E00" w:rsidP="008A267F">
      <w:pPr>
        <w:pStyle w:val="BodyTextGrey"/>
      </w:pPr>
      <w:r>
        <w:t xml:space="preserve">The appendix to this document contains examples of the </w:t>
      </w:r>
      <w:r w:rsidR="00711C08">
        <w:t xml:space="preserve">lifetime </w:t>
      </w:r>
      <w:r w:rsidR="00BC0684">
        <w:t xml:space="preserve">and annual </w:t>
      </w:r>
      <w:r w:rsidR="00711C08">
        <w:t>allowance</w:t>
      </w:r>
      <w:r w:rsidR="00BC0684">
        <w:t>s which demonstrate the changes</w:t>
      </w:r>
      <w:r w:rsidR="001B74AE">
        <w:t xml:space="preserve"> and its impact to members</w:t>
      </w:r>
      <w:r w:rsidR="00BC0684">
        <w:t>.</w:t>
      </w:r>
    </w:p>
    <w:p w14:paraId="6EE8B66F" w14:textId="132CF3CE" w:rsidR="00FE29FF" w:rsidRPr="002A7222" w:rsidRDefault="00FE29FF" w:rsidP="002A7222">
      <w:pPr>
        <w:pStyle w:val="BodyTextGrey"/>
        <w:spacing w:after="0"/>
        <w:rPr>
          <w:b/>
          <w:bCs/>
        </w:rPr>
      </w:pPr>
      <w:r w:rsidRPr="002A7222">
        <w:rPr>
          <w:b/>
          <w:bCs/>
        </w:rPr>
        <w:t>Removal of the Lifetime Allowance charge (LTA)</w:t>
      </w:r>
    </w:p>
    <w:p w14:paraId="7968B6BE" w14:textId="29D3E63A" w:rsidR="00FE29FF" w:rsidRDefault="00FE29FF" w:rsidP="00FE29FF">
      <w:pPr>
        <w:pStyle w:val="BodyTextGrey"/>
      </w:pPr>
      <w:r>
        <w:t xml:space="preserve">The LTA has historically been the maximum value of retirement benefits an individual can build up over their lifetime without paying a tax charge.  </w:t>
      </w:r>
    </w:p>
    <w:p w14:paraId="41341670" w14:textId="03150354" w:rsidR="00FE29FF" w:rsidRDefault="00FE29FF" w:rsidP="00FE29FF">
      <w:pPr>
        <w:pStyle w:val="BodyTextGrey"/>
      </w:pPr>
      <w:r>
        <w:t>Before the 6 April</w:t>
      </w:r>
      <w:r w:rsidR="00FF7A65">
        <w:t xml:space="preserve"> 2023</w:t>
      </w:r>
      <w:r>
        <w:t xml:space="preserve"> members with lifetime pension savings valued at more than the LTA limit of £1,073,100 would be liable for a tax charge.  </w:t>
      </w:r>
      <w:r w:rsidR="00ED3265">
        <w:t>From 6 April</w:t>
      </w:r>
      <w:r w:rsidR="00FF7A65">
        <w:t xml:space="preserve"> 2023</w:t>
      </w:r>
      <w:r w:rsidR="00ED3265">
        <w:t xml:space="preserve"> that charge has been removed meaning that there is no level of lifetime pension savings that will trigger a tax charge.</w:t>
      </w:r>
    </w:p>
    <w:p w14:paraId="7A1ADCB2" w14:textId="5B70A00B" w:rsidR="00C41178" w:rsidRDefault="00C41178" w:rsidP="00FE29FF">
      <w:pPr>
        <w:pStyle w:val="BodyTextGrey"/>
      </w:pPr>
      <w:r>
        <w:t xml:space="preserve">The Government has announced that from 6 April 2024 the LTA will be scrapped completely. </w:t>
      </w:r>
    </w:p>
    <w:p w14:paraId="4D014806" w14:textId="3564CAA6" w:rsidR="00ED3265" w:rsidRPr="002A7222" w:rsidRDefault="00ED3265" w:rsidP="002A7222">
      <w:pPr>
        <w:pStyle w:val="BodyTextGrey"/>
        <w:spacing w:after="0"/>
        <w:rPr>
          <w:b/>
          <w:bCs/>
        </w:rPr>
      </w:pPr>
      <w:r w:rsidRPr="002A7222">
        <w:rPr>
          <w:b/>
          <w:bCs/>
        </w:rPr>
        <w:t xml:space="preserve">Maximum </w:t>
      </w:r>
      <w:r w:rsidR="00B245A1" w:rsidRPr="002A7222">
        <w:rPr>
          <w:b/>
          <w:bCs/>
        </w:rPr>
        <w:t>tax-free</w:t>
      </w:r>
      <w:r w:rsidRPr="002A7222">
        <w:rPr>
          <w:b/>
          <w:bCs/>
        </w:rPr>
        <w:t xml:space="preserve"> lump sum of £268,275 for most members</w:t>
      </w:r>
    </w:p>
    <w:p w14:paraId="44FBD9A5" w14:textId="1DA75D9B" w:rsidR="00ED3265" w:rsidRDefault="00ED3265" w:rsidP="00ED3265">
      <w:pPr>
        <w:pStyle w:val="BodyTextGrey"/>
      </w:pPr>
      <w:r>
        <w:t xml:space="preserve">For members who had benefits valued in excess of the old LTA the maximum </w:t>
      </w:r>
      <w:r w:rsidR="00B245A1">
        <w:t>tax-free</w:t>
      </w:r>
      <w:r>
        <w:t xml:space="preserve"> lump sum amount was 25% of the LTA.  </w:t>
      </w:r>
    </w:p>
    <w:p w14:paraId="68E5EEC6" w14:textId="625A7B54" w:rsidR="005B017C" w:rsidRDefault="00ED3265" w:rsidP="00ED3265">
      <w:pPr>
        <w:pStyle w:val="BodyTextGrey"/>
      </w:pPr>
      <w:r>
        <w:t>Fr</w:t>
      </w:r>
      <w:r w:rsidR="008E7A63">
        <w:t>o</w:t>
      </w:r>
      <w:r>
        <w:t xml:space="preserve">m 6 April this limit has been retained meaning that for most people </w:t>
      </w:r>
      <w:r w:rsidR="005B017C">
        <w:t xml:space="preserve">with benefits valued at more than £1,073,100, </w:t>
      </w:r>
      <w:r>
        <w:t xml:space="preserve">the maximum </w:t>
      </w:r>
      <w:r w:rsidR="00B245A1">
        <w:t>tax-free</w:t>
      </w:r>
      <w:r>
        <w:t xml:space="preserve"> lump sum is £268,275</w:t>
      </w:r>
      <w:r w:rsidR="005B017C">
        <w:t xml:space="preserve"> (see the section</w:t>
      </w:r>
      <w:r w:rsidR="00B245A1">
        <w:t>s</w:t>
      </w:r>
      <w:r w:rsidR="005B017C">
        <w:t xml:space="preserve"> entitled Protection</w:t>
      </w:r>
      <w:r w:rsidR="00B245A1">
        <w:t>s and Lifetime Allowance excess lump sums</w:t>
      </w:r>
      <w:r w:rsidR="005B017C">
        <w:t xml:space="preserve"> for exceptions to this rule).</w:t>
      </w:r>
    </w:p>
    <w:p w14:paraId="54780068" w14:textId="29E24FCF" w:rsidR="008E7A63" w:rsidRDefault="005B017C" w:rsidP="00ED3265">
      <w:pPr>
        <w:pStyle w:val="BodyTextGrey"/>
      </w:pPr>
      <w:r>
        <w:t xml:space="preserve">The maximum </w:t>
      </w:r>
      <w:r w:rsidR="00B245A1">
        <w:t>tax-free</w:t>
      </w:r>
      <w:r>
        <w:t xml:space="preserve"> lump sum is cumulative.  This means that if you have already taken a </w:t>
      </w:r>
      <w:r w:rsidR="00B245A1">
        <w:t>tax-free</w:t>
      </w:r>
      <w:r>
        <w:t xml:space="preserve"> lump sum from a previous pension arrangement and then </w:t>
      </w:r>
      <w:r w:rsidR="008E7A63">
        <w:t xml:space="preserve">return to work and build up more pension benefits, the maximum </w:t>
      </w:r>
      <w:r w:rsidR="00291C8F">
        <w:t>tax-free</w:t>
      </w:r>
      <w:r w:rsidR="008E7A63">
        <w:t xml:space="preserve"> lump sum you can take second time round is reduced to take account of the </w:t>
      </w:r>
      <w:r w:rsidR="00590542">
        <w:t>tax-free</w:t>
      </w:r>
      <w:r w:rsidR="008E7A63">
        <w:t xml:space="preserve"> lump sum you’ve already taken.</w:t>
      </w:r>
    </w:p>
    <w:p w14:paraId="3B27F258" w14:textId="093E1B6E" w:rsidR="008E7A63" w:rsidRPr="002A7222" w:rsidRDefault="008E7A63" w:rsidP="002A7222">
      <w:pPr>
        <w:pStyle w:val="BodyTextGrey"/>
        <w:spacing w:after="0"/>
        <w:rPr>
          <w:b/>
          <w:bCs/>
        </w:rPr>
      </w:pPr>
      <w:r w:rsidRPr="002A7222">
        <w:rPr>
          <w:b/>
          <w:bCs/>
        </w:rPr>
        <w:t>Protections</w:t>
      </w:r>
    </w:p>
    <w:p w14:paraId="4BDF01D3" w14:textId="0D710176" w:rsidR="008E7A63" w:rsidRDefault="008E7A63" w:rsidP="00ED3265">
      <w:pPr>
        <w:pStyle w:val="BodyTextGrey"/>
      </w:pPr>
      <w:r>
        <w:t xml:space="preserve">Over the years the LTA </w:t>
      </w:r>
      <w:r w:rsidR="006F7DCC">
        <w:t xml:space="preserve">has been </w:t>
      </w:r>
      <w:r>
        <w:t>reduced.  Each time it was reduced</w:t>
      </w:r>
      <w:r w:rsidR="00B245A1">
        <w:t>,</w:t>
      </w:r>
      <w:r>
        <w:t xml:space="preserve"> protections were put in place for those members who had saved up to the old limit so that they d</w:t>
      </w:r>
      <w:r w:rsidR="006F7DCC">
        <w:t>idn</w:t>
      </w:r>
      <w:r>
        <w:t xml:space="preserve">’t face a retrospective tax charge. </w:t>
      </w:r>
    </w:p>
    <w:p w14:paraId="546AF73F" w14:textId="3542AC52" w:rsidR="002273C9" w:rsidRDefault="006F7DCC" w:rsidP="008A267F">
      <w:pPr>
        <w:pStyle w:val="BodyTextGrey"/>
      </w:pPr>
      <w:r>
        <w:t>To some extent t</w:t>
      </w:r>
      <w:r w:rsidR="008E7A63">
        <w:t>hose protections are no longer necessary</w:t>
      </w:r>
      <w:r>
        <w:t xml:space="preserve"> since the LTA charge has been removed.  However, the protections do also have the effect of allowing members to take a larger </w:t>
      </w:r>
      <w:r w:rsidR="00B245A1">
        <w:t>tax-free</w:t>
      </w:r>
      <w:r>
        <w:t xml:space="preserve"> lump sum.  </w:t>
      </w:r>
    </w:p>
    <w:p w14:paraId="3CEEC493" w14:textId="014EA20C" w:rsidR="00261B8C" w:rsidRPr="00261B8C" w:rsidRDefault="00261B8C" w:rsidP="008A267F">
      <w:pPr>
        <w:pStyle w:val="ptxt"/>
        <w:spacing w:before="20" w:beforeAutospacing="0" w:after="200" w:afterAutospacing="0" w:line="315" w:lineRule="atLeast"/>
        <w:rPr>
          <w:rFonts w:ascii="Arial" w:hAnsi="Arial" w:cs="Arial"/>
          <w:iCs/>
          <w:color w:val="455560"/>
          <w:sz w:val="20"/>
          <w:szCs w:val="20"/>
          <w:lang w:eastAsia="en-US"/>
        </w:rPr>
      </w:pPr>
      <w:r>
        <w:rPr>
          <w:rFonts w:ascii="Arial" w:hAnsi="Arial" w:cs="Arial"/>
          <w:iCs/>
          <w:color w:val="455560"/>
          <w:sz w:val="20"/>
          <w:szCs w:val="20"/>
          <w:lang w:eastAsia="en-US"/>
        </w:rPr>
        <w:t>Members who</w:t>
      </w:r>
      <w:r w:rsidR="002273C9" w:rsidRPr="00261B8C">
        <w:rPr>
          <w:rFonts w:ascii="Arial" w:hAnsi="Arial" w:cs="Arial"/>
          <w:iCs/>
          <w:color w:val="455560"/>
          <w:sz w:val="20"/>
          <w:szCs w:val="20"/>
          <w:lang w:eastAsia="en-US"/>
        </w:rPr>
        <w:t xml:space="preserve"> have valid Enhanced Protection, Fixed Protection </w:t>
      </w:r>
      <w:proofErr w:type="gramStart"/>
      <w:r w:rsidR="002273C9" w:rsidRPr="00261B8C">
        <w:rPr>
          <w:rFonts w:ascii="Arial" w:hAnsi="Arial" w:cs="Arial"/>
          <w:iCs/>
          <w:color w:val="455560"/>
          <w:sz w:val="20"/>
          <w:szCs w:val="20"/>
          <w:lang w:eastAsia="en-US"/>
        </w:rPr>
        <w:t>2014</w:t>
      </w:r>
      <w:proofErr w:type="gramEnd"/>
      <w:r w:rsidR="002273C9" w:rsidRPr="00261B8C">
        <w:rPr>
          <w:rFonts w:ascii="Arial" w:hAnsi="Arial" w:cs="Arial"/>
          <w:iCs/>
          <w:color w:val="455560"/>
          <w:sz w:val="20"/>
          <w:szCs w:val="20"/>
          <w:lang w:eastAsia="en-US"/>
        </w:rPr>
        <w:t xml:space="preserve"> or Fixed Protection 2016 which </w:t>
      </w:r>
      <w:r>
        <w:rPr>
          <w:rFonts w:ascii="Arial" w:hAnsi="Arial" w:cs="Arial"/>
          <w:iCs/>
          <w:color w:val="455560"/>
          <w:sz w:val="20"/>
          <w:szCs w:val="20"/>
          <w:lang w:eastAsia="en-US"/>
        </w:rPr>
        <w:t>they</w:t>
      </w:r>
      <w:r w:rsidR="002273C9" w:rsidRPr="00261B8C">
        <w:rPr>
          <w:rFonts w:ascii="Arial" w:hAnsi="Arial" w:cs="Arial"/>
          <w:iCs/>
          <w:color w:val="455560"/>
          <w:sz w:val="20"/>
          <w:szCs w:val="20"/>
          <w:lang w:eastAsia="en-US"/>
        </w:rPr>
        <w:t xml:space="preserve"> applied for before 15 March 2023, will </w:t>
      </w:r>
      <w:r w:rsidRPr="00156B77">
        <w:rPr>
          <w:rFonts w:ascii="Arial" w:hAnsi="Arial" w:cs="Arial"/>
          <w:b/>
          <w:bCs/>
          <w:iCs/>
          <w:color w:val="455560"/>
          <w:sz w:val="20"/>
          <w:szCs w:val="20"/>
          <w:lang w:eastAsia="en-US"/>
        </w:rPr>
        <w:t>retain</w:t>
      </w:r>
      <w:r w:rsidRPr="00261B8C">
        <w:rPr>
          <w:rFonts w:ascii="Arial" w:hAnsi="Arial" w:cs="Arial"/>
          <w:iCs/>
          <w:color w:val="455560"/>
          <w:sz w:val="20"/>
          <w:szCs w:val="20"/>
          <w:lang w:eastAsia="en-US"/>
        </w:rPr>
        <w:t xml:space="preserve"> the ability to take a larger </w:t>
      </w:r>
      <w:r w:rsidR="00B245A1" w:rsidRPr="00261B8C">
        <w:rPr>
          <w:rFonts w:ascii="Arial" w:hAnsi="Arial" w:cs="Arial"/>
          <w:iCs/>
          <w:color w:val="455560"/>
          <w:sz w:val="20"/>
          <w:szCs w:val="20"/>
          <w:lang w:eastAsia="en-US"/>
        </w:rPr>
        <w:t>tax-free</w:t>
      </w:r>
      <w:r w:rsidRPr="00261B8C">
        <w:rPr>
          <w:rFonts w:ascii="Arial" w:hAnsi="Arial" w:cs="Arial"/>
          <w:iCs/>
          <w:color w:val="455560"/>
          <w:sz w:val="20"/>
          <w:szCs w:val="20"/>
          <w:lang w:eastAsia="en-US"/>
        </w:rPr>
        <w:t xml:space="preserve"> lump sum.  </w:t>
      </w:r>
      <w:r>
        <w:rPr>
          <w:rFonts w:ascii="Arial" w:hAnsi="Arial" w:cs="Arial"/>
          <w:iCs/>
          <w:color w:val="455560"/>
          <w:sz w:val="20"/>
          <w:szCs w:val="20"/>
          <w:lang w:eastAsia="en-US"/>
        </w:rPr>
        <w:t>They</w:t>
      </w:r>
      <w:r w:rsidRPr="00261B8C">
        <w:rPr>
          <w:rFonts w:ascii="Arial" w:hAnsi="Arial" w:cs="Arial"/>
          <w:iCs/>
          <w:color w:val="455560"/>
          <w:sz w:val="20"/>
          <w:szCs w:val="20"/>
          <w:lang w:eastAsia="en-US"/>
        </w:rPr>
        <w:t xml:space="preserve"> will also be </w:t>
      </w:r>
      <w:r w:rsidRPr="00261B8C">
        <w:rPr>
          <w:rFonts w:ascii="Arial" w:hAnsi="Arial" w:cs="Arial"/>
          <w:iCs/>
          <w:color w:val="455560"/>
          <w:sz w:val="20"/>
          <w:szCs w:val="20"/>
          <w:lang w:eastAsia="en-US"/>
        </w:rPr>
        <w:lastRenderedPageBreak/>
        <w:t xml:space="preserve">able to </w:t>
      </w:r>
      <w:r>
        <w:rPr>
          <w:rFonts w:ascii="Arial" w:hAnsi="Arial" w:cs="Arial"/>
          <w:iCs/>
          <w:color w:val="455560"/>
          <w:sz w:val="20"/>
          <w:szCs w:val="20"/>
          <w:lang w:eastAsia="en-US"/>
        </w:rPr>
        <w:t>a</w:t>
      </w:r>
      <w:r w:rsidRPr="00261B8C">
        <w:rPr>
          <w:rFonts w:ascii="Arial" w:hAnsi="Arial" w:cs="Arial"/>
          <w:iCs/>
          <w:color w:val="455560"/>
          <w:sz w:val="20"/>
          <w:szCs w:val="20"/>
          <w:lang w:eastAsia="en-US"/>
        </w:rPr>
        <w:t xml:space="preserve">ccrue new pension benefits, join new arrangements or transfer </w:t>
      </w:r>
      <w:r w:rsidR="00B245A1">
        <w:rPr>
          <w:rFonts w:ascii="Arial" w:hAnsi="Arial" w:cs="Arial"/>
          <w:iCs/>
          <w:color w:val="455560"/>
          <w:sz w:val="20"/>
          <w:szCs w:val="20"/>
          <w:lang w:eastAsia="en-US"/>
        </w:rPr>
        <w:t xml:space="preserve">benefits </w:t>
      </w:r>
      <w:r w:rsidRPr="00261B8C">
        <w:rPr>
          <w:rFonts w:ascii="Arial" w:hAnsi="Arial" w:cs="Arial"/>
          <w:iCs/>
          <w:color w:val="455560"/>
          <w:sz w:val="20"/>
          <w:szCs w:val="20"/>
          <w:lang w:eastAsia="en-US"/>
        </w:rPr>
        <w:t>without losing this protection.</w:t>
      </w:r>
    </w:p>
    <w:p w14:paraId="22F91291" w14:textId="06635249" w:rsidR="00261B8C" w:rsidRDefault="00261B8C" w:rsidP="008A267F">
      <w:pPr>
        <w:pStyle w:val="BodyTextGrey"/>
      </w:pPr>
      <w:r>
        <w:t xml:space="preserve">Members who make a successful late application for any of these protection on or after 15 March 2023, will be able to take a larger </w:t>
      </w:r>
      <w:r w:rsidR="00B245A1">
        <w:t>tax-free</w:t>
      </w:r>
      <w:r>
        <w:t xml:space="preserve"> lump sum but will face restrictions on how much more pension they can build up. </w:t>
      </w:r>
    </w:p>
    <w:p w14:paraId="23ABA5A8" w14:textId="7B663134" w:rsidR="00FE29FF" w:rsidRPr="002A7222" w:rsidRDefault="002273C9" w:rsidP="002A7222">
      <w:pPr>
        <w:pStyle w:val="BodyTextGrey"/>
        <w:spacing w:after="0"/>
        <w:rPr>
          <w:b/>
          <w:bCs/>
        </w:rPr>
      </w:pPr>
      <w:r w:rsidRPr="002A7222">
        <w:rPr>
          <w:b/>
          <w:bCs/>
        </w:rPr>
        <w:t xml:space="preserve">Lifetime </w:t>
      </w:r>
      <w:r w:rsidR="00514891" w:rsidRPr="002A7222">
        <w:rPr>
          <w:b/>
          <w:bCs/>
        </w:rPr>
        <w:t>A</w:t>
      </w:r>
      <w:r w:rsidRPr="002A7222">
        <w:rPr>
          <w:b/>
          <w:bCs/>
        </w:rPr>
        <w:t>llowance excess lump sums</w:t>
      </w:r>
    </w:p>
    <w:p w14:paraId="4CA1C8A7" w14:textId="79305070" w:rsidR="00261B8C" w:rsidRDefault="00261B8C" w:rsidP="00261B8C">
      <w:pPr>
        <w:pStyle w:val="BodyTextGrey"/>
      </w:pPr>
      <w:r>
        <w:t xml:space="preserve">For most LGPS members the absolute maximum lump sum they can take from the Scheme will be the </w:t>
      </w:r>
      <w:r w:rsidR="00B245A1">
        <w:t>tax-free</w:t>
      </w:r>
      <w:r>
        <w:t xml:space="preserve"> limit of £268,275 (or more if the member has LTA protection).  </w:t>
      </w:r>
    </w:p>
    <w:p w14:paraId="28956813" w14:textId="65987935" w:rsidR="00E37041" w:rsidRDefault="00261B8C" w:rsidP="00261B8C">
      <w:pPr>
        <w:pStyle w:val="BodyTextGrey"/>
      </w:pPr>
      <w:r>
        <w:t xml:space="preserve">However, there are certain circumstances when it is possible to take a lump sum greater that the maximum </w:t>
      </w:r>
      <w:r w:rsidR="00B245A1">
        <w:t>tax-free</w:t>
      </w:r>
      <w:r>
        <w:t xml:space="preserve"> amount.  This can happen when </w:t>
      </w:r>
      <w:r w:rsidR="00E37041">
        <w:t xml:space="preserve">at the point of </w:t>
      </w:r>
      <w:r w:rsidR="00590542">
        <w:t>retirement,</w:t>
      </w:r>
      <w:r w:rsidR="00E37041">
        <w:t xml:space="preserve"> a member has already exceeded the LTA and is drawing a lump sum.  Any lump sum above the </w:t>
      </w:r>
      <w:r w:rsidR="00B245A1">
        <w:t>tax-free</w:t>
      </w:r>
      <w:r w:rsidR="00E37041">
        <w:t xml:space="preserve"> maximum is called a Lifetime Allowance Excess Lump Sum (LTAELS)</w:t>
      </w:r>
    </w:p>
    <w:p w14:paraId="06248D35" w14:textId="65822F97" w:rsidR="00261B8C" w:rsidRDefault="00E37041" w:rsidP="00261B8C">
      <w:pPr>
        <w:pStyle w:val="BodyTextGrey"/>
      </w:pPr>
      <w:r>
        <w:t xml:space="preserve">Before 6 April 2023 an LTAELS was taxed at 55% of </w:t>
      </w:r>
      <w:r w:rsidR="00B245A1">
        <w:t>its</w:t>
      </w:r>
      <w:r>
        <w:t xml:space="preserve"> value.  From this date any LTAELS will be taxed as if it is pension income.  This effectively means it is taxed at the member’s marginal income tax rate. </w:t>
      </w:r>
    </w:p>
    <w:p w14:paraId="4BDA62D6" w14:textId="1C9FCE6A" w:rsidR="00B50F77" w:rsidRDefault="00B50F77" w:rsidP="00261B8C">
      <w:pPr>
        <w:pStyle w:val="BodyTextGrey"/>
      </w:pPr>
      <w:r w:rsidRPr="00514891">
        <w:t>~~~~~~~~~~~~~~~</w:t>
      </w:r>
      <w:r w:rsidR="002A7222" w:rsidRPr="00514891">
        <w:t>~~~~~~~~~~~~~~~~~~~~~~~~~~~~~~~~~~~~~~~~~~~~~~~~~~~~~~~~~~~</w:t>
      </w:r>
      <w:r w:rsidRPr="00514891">
        <w:t>~~~</w:t>
      </w:r>
    </w:p>
    <w:p w14:paraId="0722A9DC" w14:textId="5CD04277" w:rsidR="00E37041" w:rsidRPr="002A7222" w:rsidRDefault="00E37041" w:rsidP="002A7222">
      <w:pPr>
        <w:pStyle w:val="BodyTextGrey"/>
        <w:spacing w:after="0"/>
        <w:rPr>
          <w:b/>
          <w:bCs/>
        </w:rPr>
      </w:pPr>
      <w:r w:rsidRPr="002A7222">
        <w:rPr>
          <w:b/>
          <w:bCs/>
        </w:rPr>
        <w:t xml:space="preserve">Annual Allowance </w:t>
      </w:r>
      <w:r w:rsidR="009D725A" w:rsidRPr="002A7222">
        <w:rPr>
          <w:b/>
          <w:bCs/>
        </w:rPr>
        <w:t>(AA)</w:t>
      </w:r>
    </w:p>
    <w:p w14:paraId="3FC881CE" w14:textId="3CA67545" w:rsidR="00E37041" w:rsidRDefault="00E37041" w:rsidP="00E37041">
      <w:pPr>
        <w:pStyle w:val="BodyTextGrey"/>
      </w:pPr>
      <w:r>
        <w:t>The Annual Allowance is the maximum amount of pension growth that a member of a pension scheme can build up over the course of a tax year</w:t>
      </w:r>
      <w:r w:rsidR="009D725A">
        <w:t xml:space="preserve"> (but see section on tapered annual allowance)</w:t>
      </w:r>
      <w:r>
        <w:t xml:space="preserve">.  </w:t>
      </w:r>
    </w:p>
    <w:p w14:paraId="6B7B17B3" w14:textId="0CA18241" w:rsidR="00E37041" w:rsidRDefault="00E37041" w:rsidP="00E37041">
      <w:pPr>
        <w:pStyle w:val="BodyTextGrey"/>
      </w:pPr>
      <w:r>
        <w:t>The Annual Allowance for the tax year 2022/23 was £40,000 but for 2023/24 it will increase to £60,000.</w:t>
      </w:r>
    </w:p>
    <w:p w14:paraId="2B0EA22D" w14:textId="44DAD741" w:rsidR="00E37041" w:rsidRDefault="00E37041" w:rsidP="00E37041">
      <w:pPr>
        <w:pStyle w:val="BodyTextGrey"/>
      </w:pPr>
      <w:r>
        <w:t xml:space="preserve">This means that members of the LGPS whose pension growth exceeded £40,000 </w:t>
      </w:r>
      <w:r w:rsidR="004D2326">
        <w:t>in the period from</w:t>
      </w:r>
      <w:r>
        <w:t xml:space="preserve"> 6 April 2022 </w:t>
      </w:r>
      <w:r w:rsidR="004D2326">
        <w:t>to</w:t>
      </w:r>
      <w:r>
        <w:t xml:space="preserve"> 5 April 2023 </w:t>
      </w:r>
      <w:r w:rsidR="009D725A">
        <w:t xml:space="preserve">will be contacted by their LGPS administrators sometime before October 2023 to inform them of this fact.  If an individual exceeds the AA in any given year, they can make use of any unused annual allowance in any of the three previous years to offset the excess growth in the current year.  Where a member exceeds the AA and does not have sufficient unused allowance in previous years to completely remove the excess, then the pension growth over £40,000 will be taxed as income at the member’s marginal rate. </w:t>
      </w:r>
    </w:p>
    <w:p w14:paraId="326167A8" w14:textId="63D62686" w:rsidR="009D725A" w:rsidRDefault="009D725A" w:rsidP="00E37041">
      <w:pPr>
        <w:pStyle w:val="BodyTextGrey"/>
      </w:pPr>
      <w:r>
        <w:t xml:space="preserve">The same process will apply for the 2023/24 tax year except that pension growth will be measured against £60,000 instead of £40,000, meaning many fewer members </w:t>
      </w:r>
      <w:r w:rsidR="00B53C14">
        <w:t>are expected to be</w:t>
      </w:r>
      <w:r>
        <w:t xml:space="preserve"> affected. </w:t>
      </w:r>
    </w:p>
    <w:p w14:paraId="5B88F9F7" w14:textId="77777777" w:rsidR="002A7222" w:rsidRDefault="00AE0527" w:rsidP="00E37041">
      <w:pPr>
        <w:pStyle w:val="BodyTextGrey"/>
      </w:pPr>
      <w:r>
        <w:t xml:space="preserve">The </w:t>
      </w:r>
      <w:r w:rsidR="00872F54">
        <w:t>increase in the AA will mean that individuals who were previously close to the annual allowance will have scope to make additional pension saving</w:t>
      </w:r>
      <w:r w:rsidR="00D5294D">
        <w:t xml:space="preserve"> through Additional Voluntary Contributions or other methods.</w:t>
      </w:r>
    </w:p>
    <w:p w14:paraId="516CD7D3" w14:textId="10366DD5" w:rsidR="009D725A" w:rsidRPr="00514891" w:rsidRDefault="009D725A" w:rsidP="002A7222">
      <w:pPr>
        <w:pStyle w:val="BodyTextGrey"/>
        <w:spacing w:after="100" w:afterAutospacing="1"/>
        <w:rPr>
          <w:b/>
          <w:bCs/>
        </w:rPr>
      </w:pPr>
      <w:r w:rsidRPr="00514891">
        <w:rPr>
          <w:b/>
          <w:bCs/>
        </w:rPr>
        <w:t xml:space="preserve">The tapered annual allowance </w:t>
      </w:r>
    </w:p>
    <w:p w14:paraId="43030918" w14:textId="4BA8A659" w:rsidR="009D2B11" w:rsidRDefault="009D2B11" w:rsidP="009D725A">
      <w:pPr>
        <w:pStyle w:val="BodyTextGrey"/>
      </w:pPr>
      <w:r>
        <w:t xml:space="preserve">Although £40,000 is the standard AA some individuals on higher salaries may have their pension growth measured against a lower value called the tapered Annual Allowance.  The tapered AA reduces the standard AA on a sliding scale depending on how much a person’s salary exceeds </w:t>
      </w:r>
      <w:r w:rsidR="004D2326">
        <w:t>certain thresholds</w:t>
      </w:r>
      <w:r>
        <w:t xml:space="preserve">.  </w:t>
      </w:r>
    </w:p>
    <w:p w14:paraId="73DAD170" w14:textId="761F2E83" w:rsidR="009D2B11" w:rsidRDefault="00100B76" w:rsidP="009D725A">
      <w:pPr>
        <w:pStyle w:val="BodyTextGrey"/>
      </w:pPr>
      <w:r>
        <w:t>From 6 April 2023 t</w:t>
      </w:r>
      <w:r w:rsidR="009D2B11">
        <w:t xml:space="preserve">he tapered AA </w:t>
      </w:r>
      <w:r>
        <w:t>will apply to those with a threshold income of £260,000 or more (previously £240,000).</w:t>
      </w:r>
    </w:p>
    <w:p w14:paraId="4FBCA147" w14:textId="68C0E498" w:rsidR="009D725A" w:rsidRDefault="00100B76" w:rsidP="009D725A">
      <w:pPr>
        <w:pStyle w:val="BodyTextGrey"/>
      </w:pPr>
      <w:r>
        <w:t>The definition of threshold income is</w:t>
      </w:r>
      <w:r w:rsidR="0041219B">
        <w:t>,</w:t>
      </w:r>
      <w:r>
        <w:t xml:space="preserve"> in simple terms</w:t>
      </w:r>
      <w:r w:rsidR="0041219B">
        <w:t>,</w:t>
      </w:r>
      <w:r>
        <w:t xml:space="preserve"> gross income less pension contributions.  That would mean an LGPS member would have to be on a salary of over £297,000 to be affected.  </w:t>
      </w:r>
    </w:p>
    <w:p w14:paraId="3B94FDE6" w14:textId="77777777" w:rsidR="005073B7" w:rsidRPr="00803909" w:rsidRDefault="005073B7" w:rsidP="00803909">
      <w:pPr>
        <w:pStyle w:val="BodyTextGrey"/>
      </w:pPr>
      <w:r>
        <w:br w:type="page"/>
      </w:r>
    </w:p>
    <w:p w14:paraId="4E434968" w14:textId="39242B11" w:rsidR="008A267F" w:rsidRPr="00195E57" w:rsidRDefault="008A267F" w:rsidP="008A267F">
      <w:pPr>
        <w:pStyle w:val="Heading1"/>
        <w:rPr>
          <w:color w:val="4B4B4B" w:themeColor="accent2"/>
        </w:rPr>
      </w:pPr>
      <w:r w:rsidRPr="00195E57">
        <w:rPr>
          <w:color w:val="4B4B4B" w:themeColor="accent2"/>
        </w:rPr>
        <w:lastRenderedPageBreak/>
        <w:t xml:space="preserve">Appendix 1: Lifetime Allowance examples </w:t>
      </w:r>
    </w:p>
    <w:p w14:paraId="0663E976" w14:textId="77777777" w:rsidR="008A267F" w:rsidRPr="008A267F" w:rsidRDefault="008A267F" w:rsidP="008A267F">
      <w:pPr>
        <w:pStyle w:val="BodyTextGrey"/>
        <w:rPr>
          <w:b/>
          <w:bCs/>
        </w:rPr>
      </w:pPr>
      <w:r w:rsidRPr="008A267F">
        <w:rPr>
          <w:b/>
          <w:bCs/>
        </w:rPr>
        <w:t>Member details</w:t>
      </w:r>
    </w:p>
    <w:p w14:paraId="41FFFCB4" w14:textId="77777777" w:rsidR="008A267F" w:rsidRDefault="008A267F" w:rsidP="00803909">
      <w:pPr>
        <w:pStyle w:val="BodyTextGrey"/>
        <w:ind w:left="284"/>
      </w:pPr>
      <w:r>
        <w:t>Pension = £60,000</w:t>
      </w:r>
    </w:p>
    <w:p w14:paraId="148E5F02" w14:textId="77777777" w:rsidR="008A267F" w:rsidRDefault="008A267F" w:rsidP="00803909">
      <w:pPr>
        <w:pStyle w:val="BodyTextGrey"/>
        <w:ind w:left="284"/>
      </w:pPr>
      <w:r>
        <w:t>Lump Sum = £110,000</w:t>
      </w:r>
    </w:p>
    <w:p w14:paraId="34DF8C7F" w14:textId="77777777" w:rsidR="008A267F" w:rsidRDefault="008A267F" w:rsidP="00803909">
      <w:pPr>
        <w:pStyle w:val="BodyTextGrey"/>
        <w:ind w:left="284"/>
      </w:pPr>
      <w:r>
        <w:t>LTA = £1,073,100</w:t>
      </w:r>
    </w:p>
    <w:p w14:paraId="7F1DA386" w14:textId="613BA7EC" w:rsidR="008A267F" w:rsidRDefault="008A267F" w:rsidP="00803909">
      <w:pPr>
        <w:pStyle w:val="BodyTextGrey"/>
        <w:ind w:left="284"/>
      </w:pPr>
      <w:r>
        <w:t xml:space="preserve">Maximum </w:t>
      </w:r>
      <w:r w:rsidR="00590542">
        <w:t>tax-free</w:t>
      </w:r>
      <w:r>
        <w:t xml:space="preserve"> lump sum that the member could take is £268,275 (25% of £1,073,100)</w:t>
      </w:r>
    </w:p>
    <w:p w14:paraId="2F173F25" w14:textId="77777777" w:rsidR="008A267F" w:rsidRDefault="008A267F" w:rsidP="00803909">
      <w:pPr>
        <w:pStyle w:val="BodyTextGrey"/>
        <w:ind w:left="284"/>
      </w:pPr>
      <w:r>
        <w:t xml:space="preserve">No LTA protections in place </w:t>
      </w:r>
    </w:p>
    <w:p w14:paraId="29DE44D6" w14:textId="1D37CF63" w:rsidR="008A267F" w:rsidRPr="00EA2DCE" w:rsidRDefault="008A267F" w:rsidP="008A267F">
      <w:pPr>
        <w:pStyle w:val="BodyTextGrey"/>
        <w:rPr>
          <w:b/>
          <w:bCs/>
        </w:rPr>
      </w:pPr>
      <w:r w:rsidRPr="00EA2DCE">
        <w:rPr>
          <w:b/>
          <w:bCs/>
        </w:rPr>
        <w:t xml:space="preserve">Pre-6 April 2023 scenario </w:t>
      </w:r>
    </w:p>
    <w:p w14:paraId="4F0389C7" w14:textId="77777777" w:rsidR="008A267F" w:rsidRDefault="008A267F" w:rsidP="00803909">
      <w:pPr>
        <w:pStyle w:val="BodyTextGrey"/>
        <w:ind w:left="284"/>
      </w:pPr>
      <w:r>
        <w:t>Value of benefits at retirement = 20 * £60,000 + £110,000 = £1,310,000</w:t>
      </w:r>
    </w:p>
    <w:p w14:paraId="2B9E7BAE" w14:textId="77777777" w:rsidR="008A267F" w:rsidRDefault="008A267F" w:rsidP="00803909">
      <w:pPr>
        <w:pStyle w:val="BodyTextGrey"/>
        <w:ind w:left="284"/>
      </w:pPr>
      <w:r>
        <w:t>Benefits exceed the LTA by £236,900 (£1,310,000 - £1,073,100)</w:t>
      </w:r>
    </w:p>
    <w:p w14:paraId="79FB9681" w14:textId="39AB0117" w:rsidR="008A267F" w:rsidRDefault="008A267F" w:rsidP="00803909">
      <w:pPr>
        <w:pStyle w:val="BodyTextGrey"/>
        <w:ind w:left="284"/>
      </w:pPr>
      <w:r>
        <w:t>The member’s lump sum is less than the tax-free maximum, meaning that the excess over the LTA is all pension and taxed at 25%</w:t>
      </w:r>
    </w:p>
    <w:p w14:paraId="43C9B9F7" w14:textId="77777777" w:rsidR="008A267F" w:rsidRDefault="008A267F" w:rsidP="00803909">
      <w:pPr>
        <w:pStyle w:val="BodyTextGrey"/>
        <w:ind w:left="284"/>
      </w:pPr>
      <w:r>
        <w:t xml:space="preserve">Tax charge falling on the member = £59,225 (25% of £236,900) </w:t>
      </w:r>
    </w:p>
    <w:p w14:paraId="2CF0102C" w14:textId="77777777" w:rsidR="008A267F" w:rsidRPr="00EA2DCE" w:rsidRDefault="008A267F" w:rsidP="008A267F">
      <w:pPr>
        <w:pStyle w:val="BodyTextGrey"/>
        <w:rPr>
          <w:b/>
          <w:bCs/>
        </w:rPr>
      </w:pPr>
      <w:r w:rsidRPr="00EA2DCE">
        <w:rPr>
          <w:b/>
          <w:bCs/>
        </w:rPr>
        <w:t xml:space="preserve">Post 5 April 2023 </w:t>
      </w:r>
      <w:proofErr w:type="gramStart"/>
      <w:r w:rsidRPr="00EA2DCE">
        <w:rPr>
          <w:b/>
          <w:bCs/>
        </w:rPr>
        <w:t>scenario</w:t>
      </w:r>
      <w:bookmarkStart w:id="0" w:name="_Hlk132880801"/>
      <w:proofErr w:type="gramEnd"/>
    </w:p>
    <w:p w14:paraId="10A940DA" w14:textId="64AFC817" w:rsidR="008A267F" w:rsidRDefault="008A267F" w:rsidP="00803909">
      <w:pPr>
        <w:pStyle w:val="BodyTextGrey"/>
        <w:ind w:left="284"/>
      </w:pPr>
      <w:r>
        <w:t xml:space="preserve">If the member retired on or after </w:t>
      </w:r>
      <w:proofErr w:type="gramStart"/>
      <w:r>
        <w:t>6 April 2023</w:t>
      </w:r>
      <w:proofErr w:type="gramEnd"/>
      <w:r>
        <w:t xml:space="preserve"> they could draw identical benefits without incurring a LTA tax charge.</w:t>
      </w:r>
    </w:p>
    <w:p w14:paraId="4829AF01" w14:textId="77777777" w:rsidR="008A267F" w:rsidRPr="00EA2DCE" w:rsidRDefault="008A267F" w:rsidP="008A267F">
      <w:pPr>
        <w:pStyle w:val="BodyTextGrey"/>
        <w:rPr>
          <w:b/>
          <w:bCs/>
        </w:rPr>
      </w:pPr>
      <w:r w:rsidRPr="00EA2DCE">
        <w:rPr>
          <w:b/>
          <w:bCs/>
        </w:rPr>
        <w:t>Maximum Lump Sum</w:t>
      </w:r>
    </w:p>
    <w:p w14:paraId="022BA1F8" w14:textId="18E8549A" w:rsidR="008A267F" w:rsidRDefault="008A267F" w:rsidP="00803909">
      <w:pPr>
        <w:pStyle w:val="BodyTextGrey"/>
        <w:ind w:left="284"/>
      </w:pPr>
      <w:r>
        <w:t xml:space="preserve">The maximum tax-free lump sum that a member can draw has not changed as a result of the budget. </w:t>
      </w:r>
    </w:p>
    <w:p w14:paraId="5EF14A15" w14:textId="23C57A13" w:rsidR="008A267F" w:rsidRDefault="008A267F" w:rsidP="00803909">
      <w:pPr>
        <w:pStyle w:val="BodyTextGrey"/>
        <w:ind w:left="284"/>
      </w:pPr>
      <w:r>
        <w:t>Assume the member in the previous example wished to draw the maximum tax-free lump sum</w:t>
      </w:r>
      <w:r w:rsidR="00EA2DCE">
        <w:t>.</w:t>
      </w:r>
    </w:p>
    <w:p w14:paraId="69B4012A" w14:textId="3B66B869" w:rsidR="008A267F" w:rsidRDefault="008A267F" w:rsidP="00803909">
      <w:pPr>
        <w:pStyle w:val="BodyTextGrey"/>
        <w:ind w:left="284"/>
      </w:pPr>
      <w:r>
        <w:t>Maximum tax-free lump sum</w:t>
      </w:r>
      <w:r w:rsidR="00333071">
        <w:rPr>
          <w:rStyle w:val="FootnoteReference"/>
        </w:rPr>
        <w:footnoteReference w:id="2"/>
      </w:r>
      <w:r>
        <w:t xml:space="preserve">  = £268,275 (25% of £1,073,100)</w:t>
      </w:r>
    </w:p>
    <w:p w14:paraId="399D8A90" w14:textId="77777777" w:rsidR="008A267F" w:rsidRDefault="008A267F" w:rsidP="00803909">
      <w:pPr>
        <w:pStyle w:val="BodyTextGrey"/>
        <w:ind w:left="284"/>
      </w:pPr>
      <w:r>
        <w:t xml:space="preserve">The member may give up £1 of pension in exchange for £12 of additional lump sum.  To achieve the maximum </w:t>
      </w:r>
      <w:proofErr w:type="gramStart"/>
      <w:r>
        <w:t>tax free</w:t>
      </w:r>
      <w:proofErr w:type="gramEnd"/>
      <w:r>
        <w:t xml:space="preserve"> lump sum this member must give up £13,189 of pension.</w:t>
      </w:r>
    </w:p>
    <w:p w14:paraId="6BD99C23" w14:textId="77777777" w:rsidR="008A267F" w:rsidRDefault="008A267F" w:rsidP="00803909">
      <w:pPr>
        <w:pStyle w:val="BodyTextGrey"/>
        <w:ind w:left="284"/>
      </w:pPr>
      <w:r>
        <w:t>Pension after conversion = £46,810 (£60,000 - £13,189)</w:t>
      </w:r>
    </w:p>
    <w:p w14:paraId="1647E527" w14:textId="77777777" w:rsidR="008A267F" w:rsidRDefault="008A267F" w:rsidP="00803909">
      <w:pPr>
        <w:pStyle w:val="BodyTextGrey"/>
        <w:ind w:left="284"/>
      </w:pPr>
      <w:r>
        <w:t>Standard lump sum = £110,000</w:t>
      </w:r>
    </w:p>
    <w:p w14:paraId="5F2EB526" w14:textId="77777777" w:rsidR="008A267F" w:rsidRDefault="008A267F" w:rsidP="00803909">
      <w:pPr>
        <w:pStyle w:val="BodyTextGrey"/>
        <w:ind w:left="284"/>
      </w:pPr>
      <w:r>
        <w:t>Lump sum from conversion = 12 * £13,189 = £158,268</w:t>
      </w:r>
    </w:p>
    <w:p w14:paraId="1DE8648C" w14:textId="47D2FE2A" w:rsidR="008A267F" w:rsidRDefault="008A267F" w:rsidP="00803909">
      <w:pPr>
        <w:pStyle w:val="BodyTextGrey"/>
        <w:ind w:left="284"/>
      </w:pPr>
      <w:r>
        <w:t xml:space="preserve">Total lump sum = £110,000 + £158,268 = </w:t>
      </w:r>
      <w:r w:rsidR="005073B7">
        <w:t>£</w:t>
      </w:r>
      <w:r>
        <w:t>268,268</w:t>
      </w:r>
      <w:r w:rsidR="007E40F4">
        <w:rPr>
          <w:rStyle w:val="FootnoteReference"/>
        </w:rPr>
        <w:footnoteReference w:id="3"/>
      </w:r>
    </w:p>
    <w:p w14:paraId="52E90525" w14:textId="456B6F52" w:rsidR="005073B7" w:rsidRPr="00576B8F" w:rsidRDefault="005073B7" w:rsidP="005073B7">
      <w:pPr>
        <w:pStyle w:val="Heading1"/>
        <w:rPr>
          <w:color w:val="4B4B4B" w:themeColor="accent2"/>
        </w:rPr>
      </w:pPr>
      <w:r w:rsidRPr="00576B8F">
        <w:rPr>
          <w:color w:val="4B4B4B" w:themeColor="accent2"/>
        </w:rPr>
        <w:lastRenderedPageBreak/>
        <w:t xml:space="preserve">Appendix 2: Annual Allowance examples </w:t>
      </w:r>
    </w:p>
    <w:p w14:paraId="622B903F" w14:textId="77777777" w:rsidR="005073B7" w:rsidRPr="002403BB" w:rsidRDefault="005073B7" w:rsidP="00A725D8">
      <w:pPr>
        <w:pStyle w:val="BodyTextGrey"/>
      </w:pPr>
      <w:r w:rsidRPr="002403BB">
        <w:t>Below we show examples</w:t>
      </w:r>
      <w:r w:rsidRPr="00A725D8">
        <w:rPr>
          <w:vertAlign w:val="superscript"/>
        </w:rPr>
        <w:footnoteReference w:id="4"/>
      </w:r>
      <w:r w:rsidRPr="002403BB">
        <w:t xml:space="preserve"> of the impact on the annual allowance changes for LGPS members on a range of salaries for the tax years 22/23, 23/24 and 24/25. </w:t>
      </w:r>
    </w:p>
    <w:p w14:paraId="3C49B686" w14:textId="4DCA165F" w:rsidR="005073B7" w:rsidRPr="002403BB" w:rsidRDefault="005073B7" w:rsidP="00A725D8">
      <w:pPr>
        <w:pStyle w:val="BodyTextGrey"/>
      </w:pPr>
      <w:r w:rsidRPr="002403BB">
        <w:t xml:space="preserve">All examples assume a member with 10 years of </w:t>
      </w:r>
      <w:r w:rsidR="004100D1" w:rsidRPr="002403BB">
        <w:t>pre-1 April 2008</w:t>
      </w:r>
      <w:r w:rsidRPr="002403BB">
        <w:t xml:space="preserve"> service and 6 years of service between 1 April 2009 and 31 March 2014.</w:t>
      </w:r>
    </w:p>
    <w:p w14:paraId="72EC1342" w14:textId="77777777" w:rsidR="005073B7" w:rsidRPr="00A725D8" w:rsidRDefault="005073B7" w:rsidP="00A725D8">
      <w:pPr>
        <w:pStyle w:val="BodyTextGrey"/>
        <w:rPr>
          <w:b/>
          <w:bCs/>
        </w:rPr>
      </w:pPr>
      <w:r w:rsidRPr="00A725D8">
        <w:rPr>
          <w:b/>
          <w:bCs/>
        </w:rPr>
        <w:t>Member on a salary of £90,000 for the year 2022/23</w:t>
      </w:r>
    </w:p>
    <w:tbl>
      <w:tblPr>
        <w:tblStyle w:val="TableGrid"/>
        <w:tblW w:w="9071" w:type="dxa"/>
        <w:tblLook w:val="04A0" w:firstRow="1" w:lastRow="0" w:firstColumn="1" w:lastColumn="0" w:noHBand="0" w:noVBand="1"/>
      </w:tblPr>
      <w:tblGrid>
        <w:gridCol w:w="3969"/>
        <w:gridCol w:w="2551"/>
        <w:gridCol w:w="2551"/>
      </w:tblGrid>
      <w:tr w:rsidR="00747E05" w:rsidRPr="002403BB" w14:paraId="0BBFC17E" w14:textId="77777777" w:rsidTr="002A064A">
        <w:trPr>
          <w:trHeight w:val="397"/>
        </w:trPr>
        <w:tc>
          <w:tcPr>
            <w:tcW w:w="3969" w:type="dxa"/>
            <w:shd w:val="clear" w:color="auto" w:fill="D9D9D9" w:themeFill="background1" w:themeFillShade="D9"/>
            <w:vAlign w:val="center"/>
          </w:tcPr>
          <w:p w14:paraId="65ABD059"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 xml:space="preserve">Details </w:t>
            </w:r>
          </w:p>
        </w:tc>
        <w:tc>
          <w:tcPr>
            <w:tcW w:w="2551" w:type="dxa"/>
            <w:shd w:val="clear" w:color="auto" w:fill="D9D9D9" w:themeFill="background1" w:themeFillShade="D9"/>
            <w:vAlign w:val="center"/>
          </w:tcPr>
          <w:p w14:paraId="0B64CC76"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 xml:space="preserve">Values </w:t>
            </w:r>
            <w:proofErr w:type="gramStart"/>
            <w:r w:rsidRPr="00514891">
              <w:rPr>
                <w:rFonts w:ascii="Arial" w:hAnsi="Arial" w:cs="Arial"/>
                <w:b/>
                <w:bCs/>
                <w:iCs/>
                <w:color w:val="455560"/>
              </w:rPr>
              <w:t>at</w:t>
            </w:r>
            <w:proofErr w:type="gramEnd"/>
            <w:r w:rsidRPr="00514891">
              <w:rPr>
                <w:rFonts w:ascii="Arial" w:hAnsi="Arial" w:cs="Arial"/>
                <w:b/>
                <w:bCs/>
                <w:iCs/>
                <w:color w:val="455560"/>
              </w:rPr>
              <w:t xml:space="preserve"> 6 April 2022</w:t>
            </w:r>
          </w:p>
        </w:tc>
        <w:tc>
          <w:tcPr>
            <w:tcW w:w="2551" w:type="dxa"/>
            <w:shd w:val="clear" w:color="auto" w:fill="D9D9D9" w:themeFill="background1" w:themeFillShade="D9"/>
            <w:vAlign w:val="center"/>
          </w:tcPr>
          <w:p w14:paraId="35049473"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 xml:space="preserve">Values </w:t>
            </w:r>
            <w:proofErr w:type="gramStart"/>
            <w:r w:rsidRPr="00514891">
              <w:rPr>
                <w:rFonts w:ascii="Arial" w:hAnsi="Arial" w:cs="Arial"/>
                <w:b/>
                <w:bCs/>
                <w:iCs/>
                <w:color w:val="455560"/>
              </w:rPr>
              <w:t>at</w:t>
            </w:r>
            <w:proofErr w:type="gramEnd"/>
            <w:r w:rsidRPr="00514891">
              <w:rPr>
                <w:rFonts w:ascii="Arial" w:hAnsi="Arial" w:cs="Arial"/>
                <w:b/>
                <w:bCs/>
                <w:iCs/>
                <w:color w:val="455560"/>
              </w:rPr>
              <w:t xml:space="preserve"> 5 April 2023</w:t>
            </w:r>
          </w:p>
        </w:tc>
      </w:tr>
      <w:tr w:rsidR="00A263B2" w:rsidRPr="002403BB" w14:paraId="64F4A605" w14:textId="77777777" w:rsidTr="00A263B2">
        <w:trPr>
          <w:trHeight w:val="397"/>
        </w:trPr>
        <w:tc>
          <w:tcPr>
            <w:tcW w:w="3969" w:type="dxa"/>
            <w:vAlign w:val="center"/>
          </w:tcPr>
          <w:p w14:paraId="566EBDB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Pay </w:t>
            </w:r>
          </w:p>
        </w:tc>
        <w:tc>
          <w:tcPr>
            <w:tcW w:w="2551" w:type="dxa"/>
            <w:vAlign w:val="center"/>
          </w:tcPr>
          <w:p w14:paraId="7170DF2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£81,500</w:t>
            </w:r>
          </w:p>
        </w:tc>
        <w:tc>
          <w:tcPr>
            <w:tcW w:w="2551" w:type="dxa"/>
            <w:vAlign w:val="center"/>
          </w:tcPr>
          <w:p w14:paraId="122D0A6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£90,000</w:t>
            </w:r>
          </w:p>
        </w:tc>
      </w:tr>
      <w:tr w:rsidR="00A263B2" w:rsidRPr="002403BB" w14:paraId="63A694A0" w14:textId="77777777" w:rsidTr="00A263B2">
        <w:trPr>
          <w:trHeight w:val="397"/>
        </w:trPr>
        <w:tc>
          <w:tcPr>
            <w:tcW w:w="3969" w:type="dxa"/>
            <w:vAlign w:val="center"/>
          </w:tcPr>
          <w:p w14:paraId="18920C2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Total Pension </w:t>
            </w:r>
          </w:p>
        </w:tc>
        <w:tc>
          <w:tcPr>
            <w:tcW w:w="2551" w:type="dxa"/>
            <w:vAlign w:val="center"/>
          </w:tcPr>
          <w:p w14:paraId="35E8CAB9"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£33,010.18</w:t>
            </w:r>
          </w:p>
        </w:tc>
        <w:tc>
          <w:tcPr>
            <w:tcW w:w="2551" w:type="dxa"/>
            <w:vAlign w:val="center"/>
          </w:tcPr>
          <w:p w14:paraId="3EB5E889"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£36,813.25</w:t>
            </w:r>
          </w:p>
        </w:tc>
      </w:tr>
      <w:tr w:rsidR="00A263B2" w:rsidRPr="002403BB" w14:paraId="6B36FBBC" w14:textId="77777777" w:rsidTr="00A263B2">
        <w:trPr>
          <w:trHeight w:val="397"/>
        </w:trPr>
        <w:tc>
          <w:tcPr>
            <w:tcW w:w="3969" w:type="dxa"/>
            <w:vAlign w:val="center"/>
          </w:tcPr>
          <w:p w14:paraId="08A0BB8F"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Automatic Lump Sum </w:t>
            </w:r>
          </w:p>
        </w:tc>
        <w:tc>
          <w:tcPr>
            <w:tcW w:w="2551" w:type="dxa"/>
            <w:vAlign w:val="center"/>
          </w:tcPr>
          <w:p w14:paraId="194812FA"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£32,094.81</w:t>
            </w:r>
          </w:p>
        </w:tc>
        <w:tc>
          <w:tcPr>
            <w:tcW w:w="2551" w:type="dxa"/>
            <w:vAlign w:val="center"/>
          </w:tcPr>
          <w:p w14:paraId="7D0CB2DE"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£35,442.12</w:t>
            </w:r>
          </w:p>
        </w:tc>
      </w:tr>
      <w:tr w:rsidR="00A263B2" w:rsidRPr="002403BB" w14:paraId="167BB061" w14:textId="77777777" w:rsidTr="00A263B2">
        <w:trPr>
          <w:trHeight w:val="624"/>
        </w:trPr>
        <w:tc>
          <w:tcPr>
            <w:tcW w:w="3969" w:type="dxa"/>
            <w:vAlign w:val="center"/>
          </w:tcPr>
          <w:p w14:paraId="697606ED" w14:textId="77777777" w:rsidR="00747E05" w:rsidRDefault="005073B7" w:rsidP="00C12277">
            <w:pPr>
              <w:spacing w:before="0" w:after="100" w:line="259" w:lineRule="auto"/>
              <w:rPr>
                <w:rFonts w:ascii="Arial" w:hAnsi="Arial" w:cs="Arial"/>
                <w:iCs/>
                <w:color w:val="455560"/>
              </w:rPr>
            </w:pPr>
            <w:r w:rsidRPr="00A725D8">
              <w:rPr>
                <w:rFonts w:ascii="Arial" w:hAnsi="Arial" w:cs="Arial"/>
                <w:iCs/>
                <w:color w:val="455560"/>
              </w:rPr>
              <w:t>Final value of benefits</w:t>
            </w:r>
            <w:r w:rsidR="00747E05">
              <w:rPr>
                <w:rFonts w:ascii="Arial" w:hAnsi="Arial" w:cs="Arial"/>
                <w:iCs/>
                <w:color w:val="455560"/>
              </w:rPr>
              <w:t xml:space="preserve"> </w:t>
            </w:r>
          </w:p>
          <w:p w14:paraId="20450D2E" w14:textId="26A6D63F"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(16*Pension + lump sum) </w:t>
            </w:r>
          </w:p>
        </w:tc>
        <w:tc>
          <w:tcPr>
            <w:tcW w:w="2551" w:type="dxa"/>
            <w:vAlign w:val="center"/>
          </w:tcPr>
          <w:p w14:paraId="14176280"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£560,257.72 + 3.1%</w:t>
            </w:r>
            <w:r w:rsidRPr="00A725D8">
              <w:rPr>
                <w:iCs/>
                <w:vertAlign w:val="superscript"/>
              </w:rPr>
              <w:footnoteReference w:id="5"/>
            </w:r>
            <w:r w:rsidRPr="00A725D8">
              <w:rPr>
                <w:rFonts w:ascii="Arial" w:hAnsi="Arial" w:cs="Arial"/>
                <w:iCs/>
                <w:color w:val="455560"/>
              </w:rPr>
              <w:t xml:space="preserve"> = </w:t>
            </w:r>
          </w:p>
          <w:p w14:paraId="602A723C"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£577,625.71</w:t>
            </w:r>
          </w:p>
        </w:tc>
        <w:tc>
          <w:tcPr>
            <w:tcW w:w="2551" w:type="dxa"/>
            <w:vAlign w:val="center"/>
          </w:tcPr>
          <w:p w14:paraId="576D484E"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£624,454.06</w:t>
            </w:r>
          </w:p>
        </w:tc>
      </w:tr>
      <w:tr w:rsidR="00A263B2" w:rsidRPr="002403BB" w14:paraId="350CAF95" w14:textId="77777777" w:rsidTr="00A263B2">
        <w:trPr>
          <w:trHeight w:val="624"/>
        </w:trPr>
        <w:tc>
          <w:tcPr>
            <w:tcW w:w="3969" w:type="dxa"/>
            <w:vAlign w:val="center"/>
          </w:tcPr>
          <w:p w14:paraId="222A3D20"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Increase in value over tax year (closing value less opening value)</w:t>
            </w:r>
          </w:p>
        </w:tc>
        <w:tc>
          <w:tcPr>
            <w:tcW w:w="2551" w:type="dxa"/>
            <w:vAlign w:val="center"/>
          </w:tcPr>
          <w:p w14:paraId="4977BDD4" w14:textId="77777777" w:rsidR="005073B7" w:rsidRPr="00A725D8" w:rsidRDefault="005073B7" w:rsidP="00C12277">
            <w:pPr>
              <w:spacing w:before="0" w:after="100" w:line="259" w:lineRule="auto"/>
              <w:rPr>
                <w:rFonts w:ascii="Arial" w:hAnsi="Arial" w:cs="Arial"/>
                <w:iCs/>
                <w:color w:val="455560"/>
              </w:rPr>
            </w:pPr>
          </w:p>
        </w:tc>
        <w:tc>
          <w:tcPr>
            <w:tcW w:w="2551" w:type="dxa"/>
            <w:vAlign w:val="center"/>
          </w:tcPr>
          <w:p w14:paraId="11BA599E"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£46,828.35</w:t>
            </w:r>
          </w:p>
        </w:tc>
      </w:tr>
      <w:tr w:rsidR="00A263B2" w:rsidRPr="002403BB" w14:paraId="0C1B3F95" w14:textId="77777777" w:rsidTr="00A263B2">
        <w:trPr>
          <w:trHeight w:val="397"/>
        </w:trPr>
        <w:tc>
          <w:tcPr>
            <w:tcW w:w="3969" w:type="dxa"/>
            <w:vAlign w:val="center"/>
          </w:tcPr>
          <w:p w14:paraId="42B8AEE9"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Standard annual allowance </w:t>
            </w:r>
          </w:p>
        </w:tc>
        <w:tc>
          <w:tcPr>
            <w:tcW w:w="2551" w:type="dxa"/>
            <w:vAlign w:val="center"/>
          </w:tcPr>
          <w:p w14:paraId="421AFAEF" w14:textId="77777777" w:rsidR="005073B7" w:rsidRPr="00A725D8" w:rsidRDefault="005073B7" w:rsidP="00C12277">
            <w:pPr>
              <w:spacing w:before="0" w:after="100" w:line="259" w:lineRule="auto"/>
              <w:rPr>
                <w:rFonts w:ascii="Arial" w:hAnsi="Arial" w:cs="Arial"/>
                <w:iCs/>
                <w:color w:val="455560"/>
              </w:rPr>
            </w:pPr>
          </w:p>
        </w:tc>
        <w:tc>
          <w:tcPr>
            <w:tcW w:w="2551" w:type="dxa"/>
            <w:vAlign w:val="center"/>
          </w:tcPr>
          <w:p w14:paraId="201977F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£40,000</w:t>
            </w:r>
          </w:p>
        </w:tc>
      </w:tr>
      <w:tr w:rsidR="00A263B2" w:rsidRPr="002403BB" w14:paraId="60E2BF48" w14:textId="77777777" w:rsidTr="00A263B2">
        <w:trPr>
          <w:trHeight w:val="624"/>
        </w:trPr>
        <w:tc>
          <w:tcPr>
            <w:tcW w:w="3969" w:type="dxa"/>
            <w:vAlign w:val="center"/>
          </w:tcPr>
          <w:p w14:paraId="0C62E13E"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Amount in excess of annual allowance, taxed as income  </w:t>
            </w:r>
          </w:p>
        </w:tc>
        <w:tc>
          <w:tcPr>
            <w:tcW w:w="2551" w:type="dxa"/>
            <w:vAlign w:val="center"/>
          </w:tcPr>
          <w:p w14:paraId="4867BE25" w14:textId="77777777" w:rsidR="005073B7" w:rsidRPr="00A725D8" w:rsidRDefault="005073B7" w:rsidP="00C12277">
            <w:pPr>
              <w:spacing w:before="0" w:after="100" w:line="259" w:lineRule="auto"/>
              <w:rPr>
                <w:rFonts w:ascii="Arial" w:hAnsi="Arial" w:cs="Arial"/>
                <w:iCs/>
                <w:color w:val="455560"/>
              </w:rPr>
            </w:pPr>
          </w:p>
        </w:tc>
        <w:tc>
          <w:tcPr>
            <w:tcW w:w="2551" w:type="dxa"/>
            <w:vAlign w:val="center"/>
          </w:tcPr>
          <w:p w14:paraId="4EF67B3D"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£6,828.35</w:t>
            </w:r>
          </w:p>
        </w:tc>
      </w:tr>
      <w:tr w:rsidR="00747E05" w:rsidRPr="002403BB" w14:paraId="5E4EB1AD" w14:textId="77777777" w:rsidTr="002A064A">
        <w:trPr>
          <w:trHeight w:val="397"/>
        </w:trPr>
        <w:tc>
          <w:tcPr>
            <w:tcW w:w="3969" w:type="dxa"/>
            <w:shd w:val="clear" w:color="auto" w:fill="D9D9D9" w:themeFill="background1" w:themeFillShade="D9"/>
            <w:vAlign w:val="center"/>
            <w:hideMark/>
          </w:tcPr>
          <w:p w14:paraId="75D10B1D"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Details</w:t>
            </w:r>
          </w:p>
        </w:tc>
        <w:tc>
          <w:tcPr>
            <w:tcW w:w="2551" w:type="dxa"/>
            <w:shd w:val="clear" w:color="auto" w:fill="D9D9D9" w:themeFill="background1" w:themeFillShade="D9"/>
            <w:vAlign w:val="center"/>
            <w:hideMark/>
          </w:tcPr>
          <w:p w14:paraId="6FA44F31"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 xml:space="preserve">Values </w:t>
            </w:r>
            <w:proofErr w:type="gramStart"/>
            <w:r w:rsidRPr="00514891">
              <w:rPr>
                <w:rFonts w:ascii="Arial" w:hAnsi="Arial" w:cs="Arial"/>
                <w:b/>
                <w:bCs/>
                <w:iCs/>
                <w:color w:val="455560"/>
              </w:rPr>
              <w:t>at</w:t>
            </w:r>
            <w:proofErr w:type="gramEnd"/>
            <w:r w:rsidRPr="00514891">
              <w:rPr>
                <w:rFonts w:ascii="Arial" w:hAnsi="Arial" w:cs="Arial"/>
                <w:b/>
                <w:bCs/>
                <w:iCs/>
                <w:color w:val="455560"/>
              </w:rPr>
              <w:t xml:space="preserve"> 5 April 2023</w:t>
            </w:r>
          </w:p>
        </w:tc>
        <w:tc>
          <w:tcPr>
            <w:tcW w:w="2551" w:type="dxa"/>
            <w:shd w:val="clear" w:color="auto" w:fill="D9D9D9" w:themeFill="background1" w:themeFillShade="D9"/>
            <w:vAlign w:val="center"/>
            <w:hideMark/>
          </w:tcPr>
          <w:p w14:paraId="0D7F0E27" w14:textId="77777777" w:rsidR="005073B7" w:rsidRPr="00514891" w:rsidRDefault="005073B7" w:rsidP="00C12277">
            <w:pPr>
              <w:spacing w:before="0" w:after="100" w:line="259" w:lineRule="auto"/>
              <w:rPr>
                <w:rFonts w:ascii="Arial" w:hAnsi="Arial" w:cs="Arial"/>
                <w:b/>
                <w:bCs/>
                <w:iCs/>
                <w:color w:val="455560"/>
              </w:rPr>
            </w:pPr>
            <w:r w:rsidRPr="00514891">
              <w:rPr>
                <w:rFonts w:ascii="Arial" w:hAnsi="Arial" w:cs="Arial"/>
                <w:b/>
                <w:bCs/>
                <w:iCs/>
                <w:color w:val="455560"/>
              </w:rPr>
              <w:t xml:space="preserve">Values </w:t>
            </w:r>
            <w:proofErr w:type="gramStart"/>
            <w:r w:rsidRPr="00514891">
              <w:rPr>
                <w:rFonts w:ascii="Arial" w:hAnsi="Arial" w:cs="Arial"/>
                <w:b/>
                <w:bCs/>
                <w:iCs/>
                <w:color w:val="455560"/>
              </w:rPr>
              <w:t>at</w:t>
            </w:r>
            <w:proofErr w:type="gramEnd"/>
            <w:r w:rsidRPr="00514891">
              <w:rPr>
                <w:rFonts w:ascii="Arial" w:hAnsi="Arial" w:cs="Arial"/>
                <w:b/>
                <w:bCs/>
                <w:iCs/>
                <w:color w:val="455560"/>
              </w:rPr>
              <w:t xml:space="preserve"> 5 April 2024</w:t>
            </w:r>
          </w:p>
        </w:tc>
      </w:tr>
      <w:tr w:rsidR="00A263B2" w:rsidRPr="002403BB" w14:paraId="4B23B285" w14:textId="77777777" w:rsidTr="00A263B2">
        <w:trPr>
          <w:trHeight w:val="397"/>
        </w:trPr>
        <w:tc>
          <w:tcPr>
            <w:tcW w:w="3969" w:type="dxa"/>
            <w:vAlign w:val="center"/>
            <w:hideMark/>
          </w:tcPr>
          <w:p w14:paraId="0C032CF1"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Pay</w:t>
            </w:r>
          </w:p>
        </w:tc>
        <w:tc>
          <w:tcPr>
            <w:tcW w:w="2551" w:type="dxa"/>
            <w:vAlign w:val="center"/>
            <w:hideMark/>
          </w:tcPr>
          <w:p w14:paraId="70DFCD0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£90,000</w:t>
            </w:r>
          </w:p>
        </w:tc>
        <w:tc>
          <w:tcPr>
            <w:tcW w:w="2551" w:type="dxa"/>
            <w:vAlign w:val="center"/>
            <w:hideMark/>
          </w:tcPr>
          <w:p w14:paraId="54C95737"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£92,000</w:t>
            </w:r>
          </w:p>
        </w:tc>
      </w:tr>
      <w:tr w:rsidR="00A263B2" w:rsidRPr="002403BB" w14:paraId="2E286CAB" w14:textId="77777777" w:rsidTr="00A263B2">
        <w:trPr>
          <w:trHeight w:val="397"/>
        </w:trPr>
        <w:tc>
          <w:tcPr>
            <w:tcW w:w="3969" w:type="dxa"/>
            <w:vAlign w:val="center"/>
            <w:hideMark/>
          </w:tcPr>
          <w:p w14:paraId="3384747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Total Pension</w:t>
            </w:r>
          </w:p>
        </w:tc>
        <w:tc>
          <w:tcPr>
            <w:tcW w:w="2551" w:type="dxa"/>
            <w:vAlign w:val="center"/>
            <w:hideMark/>
          </w:tcPr>
          <w:p w14:paraId="7B755631"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£36,813.25</w:t>
            </w:r>
          </w:p>
        </w:tc>
        <w:tc>
          <w:tcPr>
            <w:tcW w:w="2551" w:type="dxa"/>
            <w:vAlign w:val="center"/>
            <w:hideMark/>
          </w:tcPr>
          <w:p w14:paraId="5F7888E4"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£40,767.21</w:t>
            </w:r>
          </w:p>
        </w:tc>
      </w:tr>
      <w:tr w:rsidR="00A263B2" w:rsidRPr="002403BB" w14:paraId="05EDD34F" w14:textId="77777777" w:rsidTr="00A263B2">
        <w:trPr>
          <w:trHeight w:val="397"/>
        </w:trPr>
        <w:tc>
          <w:tcPr>
            <w:tcW w:w="3969" w:type="dxa"/>
            <w:vAlign w:val="center"/>
            <w:hideMark/>
          </w:tcPr>
          <w:p w14:paraId="5FDDADC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Automatic Lump Sum</w:t>
            </w:r>
          </w:p>
        </w:tc>
        <w:tc>
          <w:tcPr>
            <w:tcW w:w="2551" w:type="dxa"/>
            <w:vAlign w:val="center"/>
            <w:hideMark/>
          </w:tcPr>
          <w:p w14:paraId="56611E2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£35,442.12</w:t>
            </w:r>
          </w:p>
        </w:tc>
        <w:tc>
          <w:tcPr>
            <w:tcW w:w="2551" w:type="dxa"/>
            <w:vAlign w:val="center"/>
            <w:hideMark/>
          </w:tcPr>
          <w:p w14:paraId="66CDF2F0"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£36,229.73</w:t>
            </w:r>
          </w:p>
        </w:tc>
      </w:tr>
      <w:tr w:rsidR="00A263B2" w:rsidRPr="002403BB" w14:paraId="557E8924" w14:textId="77777777" w:rsidTr="00A263B2">
        <w:trPr>
          <w:trHeight w:val="624"/>
        </w:trPr>
        <w:tc>
          <w:tcPr>
            <w:tcW w:w="3969" w:type="dxa"/>
            <w:vAlign w:val="center"/>
            <w:hideMark/>
          </w:tcPr>
          <w:p w14:paraId="0FD02351"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Final value of benefits </w:t>
            </w:r>
          </w:p>
          <w:p w14:paraId="3EE794F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(16*Pension + lump sum)</w:t>
            </w:r>
          </w:p>
        </w:tc>
        <w:tc>
          <w:tcPr>
            <w:tcW w:w="2551" w:type="dxa"/>
            <w:vAlign w:val="center"/>
            <w:hideMark/>
          </w:tcPr>
          <w:p w14:paraId="5549DC6F"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£624,454.06 + 10.1%</w:t>
            </w:r>
            <w:r w:rsidRPr="00A725D8">
              <w:rPr>
                <w:iCs/>
                <w:vertAlign w:val="superscript"/>
              </w:rPr>
              <w:footnoteReference w:id="6"/>
            </w:r>
            <w:r w:rsidRPr="00A725D8">
              <w:rPr>
                <w:rFonts w:ascii="Arial" w:hAnsi="Arial" w:cs="Arial"/>
                <w:iCs/>
                <w:color w:val="455560"/>
              </w:rPr>
              <w:t xml:space="preserve"> = </w:t>
            </w:r>
          </w:p>
          <w:p w14:paraId="76F9EC2B" w14:textId="6FF49C58"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£687,523.92</w:t>
            </w:r>
          </w:p>
        </w:tc>
        <w:tc>
          <w:tcPr>
            <w:tcW w:w="2551" w:type="dxa"/>
            <w:vAlign w:val="center"/>
            <w:hideMark/>
          </w:tcPr>
          <w:p w14:paraId="6CE62DF9"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£688,505.12</w:t>
            </w:r>
          </w:p>
        </w:tc>
      </w:tr>
      <w:tr w:rsidR="00A263B2" w:rsidRPr="002403BB" w14:paraId="0B3F02BC" w14:textId="77777777" w:rsidTr="00A263B2">
        <w:trPr>
          <w:trHeight w:val="624"/>
        </w:trPr>
        <w:tc>
          <w:tcPr>
            <w:tcW w:w="3969" w:type="dxa"/>
            <w:vAlign w:val="center"/>
            <w:hideMark/>
          </w:tcPr>
          <w:p w14:paraId="72600244"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Increase in value over tax year (closing value less opening value)</w:t>
            </w:r>
          </w:p>
        </w:tc>
        <w:tc>
          <w:tcPr>
            <w:tcW w:w="2551" w:type="dxa"/>
            <w:vAlign w:val="center"/>
            <w:hideMark/>
          </w:tcPr>
          <w:p w14:paraId="6843E2E3"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hideMark/>
          </w:tcPr>
          <w:p w14:paraId="0F6405C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£981.20</w:t>
            </w:r>
          </w:p>
        </w:tc>
      </w:tr>
      <w:tr w:rsidR="00A263B2" w:rsidRPr="002403BB" w14:paraId="022D2861" w14:textId="77777777" w:rsidTr="00A263B2">
        <w:trPr>
          <w:trHeight w:val="397"/>
        </w:trPr>
        <w:tc>
          <w:tcPr>
            <w:tcW w:w="3969" w:type="dxa"/>
            <w:vAlign w:val="center"/>
            <w:hideMark/>
          </w:tcPr>
          <w:p w14:paraId="0B588C70"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Standard annual allowance</w:t>
            </w:r>
          </w:p>
        </w:tc>
        <w:tc>
          <w:tcPr>
            <w:tcW w:w="2551" w:type="dxa"/>
            <w:vAlign w:val="center"/>
            <w:hideMark/>
          </w:tcPr>
          <w:p w14:paraId="5F10699F"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hideMark/>
          </w:tcPr>
          <w:p w14:paraId="13B0D6CD" w14:textId="77777777" w:rsidR="005073B7" w:rsidRPr="00FA6A75" w:rsidRDefault="005073B7" w:rsidP="00C12277">
            <w:pPr>
              <w:spacing w:before="0" w:after="100" w:line="259" w:lineRule="auto"/>
              <w:rPr>
                <w:rFonts w:ascii="Arial" w:hAnsi="Arial" w:cs="Arial"/>
                <w:b/>
                <w:bCs/>
                <w:iCs/>
                <w:color w:val="455560"/>
              </w:rPr>
            </w:pPr>
            <w:r w:rsidRPr="00FA6A75">
              <w:rPr>
                <w:rFonts w:ascii="Arial" w:hAnsi="Arial" w:cs="Arial"/>
                <w:b/>
                <w:bCs/>
                <w:iCs/>
                <w:color w:val="455560"/>
              </w:rPr>
              <w:t>£60,000</w:t>
            </w:r>
          </w:p>
        </w:tc>
      </w:tr>
      <w:tr w:rsidR="00A263B2" w:rsidRPr="002403BB" w14:paraId="0B3520A3" w14:textId="77777777" w:rsidTr="00A263B2">
        <w:trPr>
          <w:trHeight w:val="624"/>
        </w:trPr>
        <w:tc>
          <w:tcPr>
            <w:tcW w:w="3969" w:type="dxa"/>
            <w:vAlign w:val="center"/>
            <w:hideMark/>
          </w:tcPr>
          <w:p w14:paraId="1972C3A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Amount in excess of annual allowance, taxed as income  </w:t>
            </w:r>
          </w:p>
        </w:tc>
        <w:tc>
          <w:tcPr>
            <w:tcW w:w="2551" w:type="dxa"/>
            <w:vAlign w:val="center"/>
            <w:hideMark/>
          </w:tcPr>
          <w:p w14:paraId="62C933F7"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hideMark/>
          </w:tcPr>
          <w:p w14:paraId="5BDB6817"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£0.00</w:t>
            </w:r>
          </w:p>
        </w:tc>
      </w:tr>
      <w:tr w:rsidR="00747E05" w:rsidRPr="002403BB" w14:paraId="3D5590C6" w14:textId="77777777" w:rsidTr="002A064A">
        <w:trPr>
          <w:trHeight w:val="397"/>
        </w:trPr>
        <w:tc>
          <w:tcPr>
            <w:tcW w:w="3969" w:type="dxa"/>
            <w:shd w:val="clear" w:color="auto" w:fill="D9D9D9" w:themeFill="background1" w:themeFillShade="D9"/>
            <w:vAlign w:val="center"/>
          </w:tcPr>
          <w:p w14:paraId="1031BE5F" w14:textId="77777777" w:rsidR="005073B7" w:rsidRPr="002A064A" w:rsidRDefault="005073B7" w:rsidP="00C12277">
            <w:pPr>
              <w:spacing w:before="0" w:after="100" w:line="259" w:lineRule="auto"/>
              <w:rPr>
                <w:rFonts w:ascii="Arial" w:hAnsi="Arial" w:cs="Arial"/>
                <w:b/>
                <w:bCs/>
                <w:iCs/>
                <w:color w:val="455560"/>
              </w:rPr>
            </w:pPr>
            <w:r w:rsidRPr="002A064A">
              <w:rPr>
                <w:rFonts w:ascii="Arial" w:hAnsi="Arial" w:cs="Arial"/>
                <w:b/>
                <w:bCs/>
                <w:iCs/>
                <w:color w:val="455560"/>
              </w:rPr>
              <w:t>Details</w:t>
            </w:r>
          </w:p>
        </w:tc>
        <w:tc>
          <w:tcPr>
            <w:tcW w:w="2551" w:type="dxa"/>
            <w:shd w:val="clear" w:color="auto" w:fill="D9D9D9" w:themeFill="background1" w:themeFillShade="D9"/>
            <w:vAlign w:val="center"/>
          </w:tcPr>
          <w:p w14:paraId="5F60FBFB" w14:textId="77777777" w:rsidR="005073B7" w:rsidRPr="002A064A" w:rsidRDefault="005073B7" w:rsidP="00C12277">
            <w:pPr>
              <w:spacing w:before="0" w:after="100" w:line="259" w:lineRule="auto"/>
              <w:rPr>
                <w:rFonts w:ascii="Arial" w:hAnsi="Arial" w:cs="Arial"/>
                <w:b/>
                <w:bCs/>
                <w:iCs/>
                <w:color w:val="455560"/>
              </w:rPr>
            </w:pPr>
            <w:r w:rsidRPr="002A064A">
              <w:rPr>
                <w:rFonts w:ascii="Arial" w:hAnsi="Arial" w:cs="Arial"/>
                <w:b/>
                <w:bCs/>
                <w:iCs/>
                <w:color w:val="455560"/>
              </w:rPr>
              <w:t xml:space="preserve">Values </w:t>
            </w:r>
            <w:proofErr w:type="gramStart"/>
            <w:r w:rsidRPr="002A064A">
              <w:rPr>
                <w:rFonts w:ascii="Arial" w:hAnsi="Arial" w:cs="Arial"/>
                <w:b/>
                <w:bCs/>
                <w:iCs/>
                <w:color w:val="455560"/>
              </w:rPr>
              <w:t>at</w:t>
            </w:r>
            <w:proofErr w:type="gramEnd"/>
            <w:r w:rsidRPr="002A064A">
              <w:rPr>
                <w:rFonts w:ascii="Arial" w:hAnsi="Arial" w:cs="Arial"/>
                <w:b/>
                <w:bCs/>
                <w:iCs/>
                <w:color w:val="455560"/>
              </w:rPr>
              <w:t xml:space="preserve"> 5 April 2024</w:t>
            </w:r>
          </w:p>
        </w:tc>
        <w:tc>
          <w:tcPr>
            <w:tcW w:w="2551" w:type="dxa"/>
            <w:shd w:val="clear" w:color="auto" w:fill="D9D9D9" w:themeFill="background1" w:themeFillShade="D9"/>
            <w:vAlign w:val="center"/>
          </w:tcPr>
          <w:p w14:paraId="26AFB23D" w14:textId="77777777" w:rsidR="005073B7" w:rsidRPr="002A064A" w:rsidRDefault="005073B7" w:rsidP="00C12277">
            <w:pPr>
              <w:spacing w:before="0" w:after="100" w:line="259" w:lineRule="auto"/>
              <w:rPr>
                <w:rFonts w:ascii="Arial" w:hAnsi="Arial" w:cs="Arial"/>
                <w:b/>
                <w:bCs/>
                <w:iCs/>
                <w:color w:val="455560"/>
              </w:rPr>
            </w:pPr>
            <w:r w:rsidRPr="002A064A">
              <w:rPr>
                <w:rFonts w:ascii="Arial" w:hAnsi="Arial" w:cs="Arial"/>
                <w:b/>
                <w:bCs/>
                <w:iCs/>
                <w:color w:val="455560"/>
              </w:rPr>
              <w:t xml:space="preserve">Values </w:t>
            </w:r>
            <w:proofErr w:type="gramStart"/>
            <w:r w:rsidRPr="002A064A">
              <w:rPr>
                <w:rFonts w:ascii="Arial" w:hAnsi="Arial" w:cs="Arial"/>
                <w:b/>
                <w:bCs/>
                <w:iCs/>
                <w:color w:val="455560"/>
              </w:rPr>
              <w:t>at</w:t>
            </w:r>
            <w:proofErr w:type="gramEnd"/>
            <w:r w:rsidRPr="002A064A">
              <w:rPr>
                <w:rFonts w:ascii="Arial" w:hAnsi="Arial" w:cs="Arial"/>
                <w:b/>
                <w:bCs/>
                <w:iCs/>
                <w:color w:val="455560"/>
              </w:rPr>
              <w:t xml:space="preserve"> 5 April 2025</w:t>
            </w:r>
          </w:p>
        </w:tc>
      </w:tr>
      <w:tr w:rsidR="00A263B2" w:rsidRPr="002403BB" w14:paraId="2315AA50" w14:textId="77777777" w:rsidTr="00A263B2">
        <w:trPr>
          <w:trHeight w:val="397"/>
        </w:trPr>
        <w:tc>
          <w:tcPr>
            <w:tcW w:w="3969" w:type="dxa"/>
            <w:vAlign w:val="center"/>
          </w:tcPr>
          <w:p w14:paraId="169FC1C4"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Pay</w:t>
            </w:r>
          </w:p>
        </w:tc>
        <w:tc>
          <w:tcPr>
            <w:tcW w:w="2551" w:type="dxa"/>
            <w:vAlign w:val="center"/>
          </w:tcPr>
          <w:p w14:paraId="09D93AC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£92,000</w:t>
            </w:r>
          </w:p>
        </w:tc>
        <w:tc>
          <w:tcPr>
            <w:tcW w:w="2551" w:type="dxa"/>
            <w:vAlign w:val="center"/>
          </w:tcPr>
          <w:p w14:paraId="6DB064BD"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£94,000</w:t>
            </w:r>
          </w:p>
        </w:tc>
      </w:tr>
      <w:tr w:rsidR="00A263B2" w:rsidRPr="002403BB" w14:paraId="31777760" w14:textId="77777777" w:rsidTr="00A263B2">
        <w:trPr>
          <w:trHeight w:val="397"/>
        </w:trPr>
        <w:tc>
          <w:tcPr>
            <w:tcW w:w="3969" w:type="dxa"/>
            <w:vAlign w:val="center"/>
          </w:tcPr>
          <w:p w14:paraId="1133781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Total Pension</w:t>
            </w:r>
          </w:p>
        </w:tc>
        <w:tc>
          <w:tcPr>
            <w:tcW w:w="2551" w:type="dxa"/>
            <w:vAlign w:val="center"/>
          </w:tcPr>
          <w:p w14:paraId="7E92A03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£40,767.21</w:t>
            </w:r>
          </w:p>
        </w:tc>
        <w:tc>
          <w:tcPr>
            <w:tcW w:w="2551" w:type="dxa"/>
            <w:vAlign w:val="center"/>
          </w:tcPr>
          <w:p w14:paraId="5A19F92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£44,608.50</w:t>
            </w:r>
          </w:p>
        </w:tc>
      </w:tr>
      <w:tr w:rsidR="00A263B2" w:rsidRPr="002403BB" w14:paraId="3BA9FC68" w14:textId="77777777" w:rsidTr="00A263B2">
        <w:trPr>
          <w:trHeight w:val="397"/>
        </w:trPr>
        <w:tc>
          <w:tcPr>
            <w:tcW w:w="3969" w:type="dxa"/>
            <w:vAlign w:val="center"/>
          </w:tcPr>
          <w:p w14:paraId="4F2B788A"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Automatic Lump Sum</w:t>
            </w:r>
          </w:p>
        </w:tc>
        <w:tc>
          <w:tcPr>
            <w:tcW w:w="2551" w:type="dxa"/>
            <w:vAlign w:val="center"/>
          </w:tcPr>
          <w:p w14:paraId="51BC17B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£36,229.73</w:t>
            </w:r>
          </w:p>
        </w:tc>
        <w:tc>
          <w:tcPr>
            <w:tcW w:w="2551" w:type="dxa"/>
            <w:vAlign w:val="center"/>
          </w:tcPr>
          <w:p w14:paraId="37E7335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£37,017.33</w:t>
            </w:r>
          </w:p>
        </w:tc>
      </w:tr>
      <w:tr w:rsidR="00A263B2" w:rsidRPr="002403BB" w14:paraId="0DA36979" w14:textId="77777777" w:rsidTr="00A263B2">
        <w:trPr>
          <w:trHeight w:val="624"/>
        </w:trPr>
        <w:tc>
          <w:tcPr>
            <w:tcW w:w="3969" w:type="dxa"/>
            <w:vAlign w:val="center"/>
          </w:tcPr>
          <w:p w14:paraId="0344ED2A"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Final value of benefits </w:t>
            </w:r>
          </w:p>
          <w:p w14:paraId="064B0D66"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(16*Pension + lump sum)</w:t>
            </w:r>
          </w:p>
        </w:tc>
        <w:tc>
          <w:tcPr>
            <w:tcW w:w="2551" w:type="dxa"/>
            <w:vAlign w:val="center"/>
          </w:tcPr>
          <w:p w14:paraId="084DAAD2" w14:textId="441ABC23"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£688,505.12 + 7.5%</w:t>
            </w:r>
            <w:r w:rsidR="00BC1F2B">
              <w:rPr>
                <w:rStyle w:val="FootnoteReference"/>
                <w:rFonts w:ascii="Arial" w:hAnsi="Arial" w:cs="Arial"/>
                <w:iCs/>
                <w:color w:val="455560"/>
              </w:rPr>
              <w:footnoteReference w:id="7"/>
            </w:r>
            <w:r w:rsidRPr="00A725D8">
              <w:rPr>
                <w:rFonts w:ascii="Arial" w:hAnsi="Arial" w:cs="Arial"/>
                <w:iCs/>
                <w:color w:val="455560"/>
              </w:rPr>
              <w:t xml:space="preserve"> = </w:t>
            </w:r>
          </w:p>
          <w:p w14:paraId="269EFD91"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£740,143.01</w:t>
            </w:r>
          </w:p>
        </w:tc>
        <w:tc>
          <w:tcPr>
            <w:tcW w:w="2551" w:type="dxa"/>
            <w:vAlign w:val="center"/>
          </w:tcPr>
          <w:p w14:paraId="3C72729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£750,753.33</w:t>
            </w:r>
          </w:p>
        </w:tc>
      </w:tr>
      <w:tr w:rsidR="00A263B2" w:rsidRPr="002403BB" w14:paraId="4CE763E1" w14:textId="77777777" w:rsidTr="00A263B2">
        <w:trPr>
          <w:trHeight w:val="624"/>
        </w:trPr>
        <w:tc>
          <w:tcPr>
            <w:tcW w:w="3969" w:type="dxa"/>
            <w:vAlign w:val="center"/>
          </w:tcPr>
          <w:p w14:paraId="5111ED2B"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lastRenderedPageBreak/>
              <w:t>Increase in value over tax year (closing value less opening value)</w:t>
            </w:r>
          </w:p>
        </w:tc>
        <w:tc>
          <w:tcPr>
            <w:tcW w:w="2551" w:type="dxa"/>
            <w:vAlign w:val="center"/>
          </w:tcPr>
          <w:p w14:paraId="37C47CE3"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tcPr>
          <w:p w14:paraId="07F7EA62"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£10,610.32</w:t>
            </w:r>
          </w:p>
        </w:tc>
      </w:tr>
      <w:tr w:rsidR="00A263B2" w:rsidRPr="002403BB" w14:paraId="255B6A20" w14:textId="77777777" w:rsidTr="00A263B2">
        <w:trPr>
          <w:trHeight w:val="397"/>
        </w:trPr>
        <w:tc>
          <w:tcPr>
            <w:tcW w:w="3969" w:type="dxa"/>
            <w:vAlign w:val="center"/>
          </w:tcPr>
          <w:p w14:paraId="63EF8401"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Standard annual allowance</w:t>
            </w:r>
          </w:p>
        </w:tc>
        <w:tc>
          <w:tcPr>
            <w:tcW w:w="2551" w:type="dxa"/>
            <w:vAlign w:val="center"/>
          </w:tcPr>
          <w:p w14:paraId="76A80F53"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tcPr>
          <w:p w14:paraId="2860D1C0" w14:textId="77777777" w:rsidR="005073B7" w:rsidRPr="00FA6A75" w:rsidRDefault="005073B7" w:rsidP="00C12277">
            <w:pPr>
              <w:spacing w:before="0" w:after="100" w:line="259" w:lineRule="auto"/>
              <w:rPr>
                <w:rFonts w:ascii="Arial" w:hAnsi="Arial" w:cs="Arial"/>
                <w:b/>
                <w:bCs/>
                <w:iCs/>
                <w:color w:val="455560"/>
              </w:rPr>
            </w:pPr>
            <w:r w:rsidRPr="00FA6A75">
              <w:rPr>
                <w:rFonts w:ascii="Arial" w:hAnsi="Arial" w:cs="Arial"/>
                <w:b/>
                <w:bCs/>
                <w:iCs/>
                <w:color w:val="455560"/>
              </w:rPr>
              <w:t>£60,000</w:t>
            </w:r>
          </w:p>
        </w:tc>
      </w:tr>
      <w:tr w:rsidR="00A263B2" w:rsidRPr="002403BB" w14:paraId="12FFD93D" w14:textId="77777777" w:rsidTr="00A263B2">
        <w:trPr>
          <w:trHeight w:val="624"/>
        </w:trPr>
        <w:tc>
          <w:tcPr>
            <w:tcW w:w="3969" w:type="dxa"/>
            <w:vAlign w:val="center"/>
          </w:tcPr>
          <w:p w14:paraId="3F030A05"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xml:space="preserve">Amount in excess of annual allowance, taxed as income  </w:t>
            </w:r>
          </w:p>
        </w:tc>
        <w:tc>
          <w:tcPr>
            <w:tcW w:w="2551" w:type="dxa"/>
            <w:vAlign w:val="center"/>
          </w:tcPr>
          <w:p w14:paraId="72A424B9"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 </w:t>
            </w:r>
          </w:p>
        </w:tc>
        <w:tc>
          <w:tcPr>
            <w:tcW w:w="2551" w:type="dxa"/>
            <w:vAlign w:val="center"/>
          </w:tcPr>
          <w:p w14:paraId="1E21D547" w14:textId="77777777" w:rsidR="005073B7" w:rsidRPr="00A725D8" w:rsidRDefault="005073B7" w:rsidP="00C12277">
            <w:pPr>
              <w:spacing w:before="0" w:after="100" w:line="259" w:lineRule="auto"/>
              <w:rPr>
                <w:rFonts w:ascii="Arial" w:hAnsi="Arial" w:cs="Arial"/>
                <w:iCs/>
                <w:color w:val="455560"/>
              </w:rPr>
            </w:pPr>
            <w:r w:rsidRPr="00A725D8">
              <w:rPr>
                <w:rFonts w:ascii="Arial" w:hAnsi="Arial" w:cs="Arial"/>
                <w:iCs/>
                <w:color w:val="455560"/>
              </w:rPr>
              <w:t>£0.00</w:t>
            </w:r>
          </w:p>
        </w:tc>
      </w:tr>
    </w:tbl>
    <w:p w14:paraId="7C3DC7D5" w14:textId="2BCEAE52" w:rsidR="005073B7" w:rsidRDefault="005073B7" w:rsidP="005073B7">
      <w:pPr>
        <w:spacing w:before="0" w:after="160" w:line="259" w:lineRule="auto"/>
        <w:rPr>
          <w:rFonts w:ascii="Arial" w:hAnsi="Arial" w:cs="Arial"/>
          <w:iCs/>
          <w:color w:val="455560"/>
        </w:rPr>
      </w:pPr>
    </w:p>
    <w:p w14:paraId="33025CDA" w14:textId="44EB62AE" w:rsidR="00514891" w:rsidRDefault="00514891" w:rsidP="005073B7">
      <w:pPr>
        <w:spacing w:before="0" w:after="160" w:line="259" w:lineRule="auto"/>
        <w:rPr>
          <w:rFonts w:ascii="Arial" w:hAnsi="Arial" w:cs="Arial"/>
          <w:iCs/>
          <w:color w:val="455560"/>
        </w:rPr>
      </w:pPr>
    </w:p>
    <w:p w14:paraId="153587E1" w14:textId="5CBBD660" w:rsidR="00514891" w:rsidRDefault="00514891" w:rsidP="005073B7">
      <w:pPr>
        <w:spacing w:before="0" w:after="160" w:line="259" w:lineRule="auto"/>
        <w:rPr>
          <w:rFonts w:ascii="Arial" w:hAnsi="Arial" w:cs="Arial"/>
          <w:iCs/>
          <w:color w:val="455560"/>
        </w:rPr>
      </w:pPr>
    </w:p>
    <w:p w14:paraId="2D1C04E8" w14:textId="703A4AEC" w:rsidR="00514891" w:rsidRDefault="00514891" w:rsidP="005073B7">
      <w:pPr>
        <w:spacing w:before="0" w:after="160" w:line="259" w:lineRule="auto"/>
        <w:rPr>
          <w:rFonts w:ascii="Arial" w:hAnsi="Arial" w:cs="Arial"/>
          <w:iCs/>
          <w:color w:val="455560"/>
        </w:rPr>
      </w:pPr>
    </w:p>
    <w:p w14:paraId="0759426A" w14:textId="48B31D95" w:rsidR="00514891" w:rsidRDefault="00514891" w:rsidP="005073B7">
      <w:pPr>
        <w:spacing w:before="0" w:after="160" w:line="259" w:lineRule="auto"/>
        <w:rPr>
          <w:rFonts w:ascii="Arial" w:hAnsi="Arial" w:cs="Arial"/>
          <w:iCs/>
          <w:color w:val="455560"/>
        </w:rPr>
      </w:pPr>
    </w:p>
    <w:p w14:paraId="1A82AB48" w14:textId="3FC9F319" w:rsidR="00514891" w:rsidRDefault="00514891" w:rsidP="005073B7">
      <w:pPr>
        <w:spacing w:before="0" w:after="160" w:line="259" w:lineRule="auto"/>
        <w:rPr>
          <w:rFonts w:ascii="Arial" w:hAnsi="Arial" w:cs="Arial"/>
          <w:iCs/>
          <w:color w:val="455560"/>
        </w:rPr>
      </w:pPr>
    </w:p>
    <w:p w14:paraId="417FE9A9" w14:textId="77777777" w:rsidR="00514891" w:rsidRPr="002403BB" w:rsidRDefault="00514891" w:rsidP="005073B7">
      <w:pPr>
        <w:spacing w:before="0" w:after="160" w:line="259" w:lineRule="auto"/>
        <w:rPr>
          <w:rFonts w:ascii="Arial" w:hAnsi="Arial" w:cs="Arial"/>
          <w:iCs/>
          <w:color w:val="455560"/>
        </w:rPr>
      </w:pPr>
    </w:p>
    <w:bookmarkEnd w:id="0"/>
    <w:p w14:paraId="39C02240" w14:textId="77777777" w:rsidR="00514891" w:rsidRDefault="00514891">
      <w:pPr>
        <w:rPr>
          <w:rFonts w:ascii="Arial" w:hAnsi="Arial" w:cs="Arial"/>
          <w:b/>
          <w:iCs/>
          <w:color w:val="455560"/>
        </w:rPr>
      </w:pPr>
      <w:r>
        <w:br w:type="page"/>
      </w:r>
    </w:p>
    <w:p w14:paraId="499667FA" w14:textId="592D4BC1" w:rsidR="001C5CE2" w:rsidRPr="00C12277" w:rsidRDefault="001C5CE2" w:rsidP="00C12277">
      <w:pPr>
        <w:spacing w:before="0" w:after="160" w:line="259" w:lineRule="auto"/>
        <w:rPr>
          <w:rFonts w:ascii="Arial" w:hAnsi="Arial" w:cs="Arial"/>
          <w:b/>
          <w:color w:val="455560"/>
        </w:rPr>
      </w:pPr>
      <w:r w:rsidRPr="00C12277">
        <w:rPr>
          <w:rFonts w:ascii="Arial" w:hAnsi="Arial" w:cs="Arial"/>
          <w:b/>
          <w:color w:val="455560"/>
        </w:rPr>
        <w:lastRenderedPageBreak/>
        <w:t>Member on a salary of £110,000 for the year 2022/23</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835"/>
        <w:gridCol w:w="2835"/>
      </w:tblGrid>
      <w:tr w:rsidR="001B0ACB" w:rsidRPr="001B0ACB" w14:paraId="53B84687" w14:textId="77777777" w:rsidTr="002A7222">
        <w:trPr>
          <w:trHeight w:val="397"/>
        </w:trPr>
        <w:tc>
          <w:tcPr>
            <w:tcW w:w="3392" w:type="dxa"/>
            <w:shd w:val="clear" w:color="auto" w:fill="D9D9D9" w:themeFill="background1" w:themeFillShade="D9"/>
            <w:vAlign w:val="center"/>
            <w:hideMark/>
          </w:tcPr>
          <w:p w14:paraId="7051E098" w14:textId="77777777" w:rsidR="001B0ACB" w:rsidRPr="00A263B2" w:rsidRDefault="001B0ACB" w:rsidP="002A7222">
            <w:pPr>
              <w:pStyle w:val="BodyTextGrey"/>
              <w:spacing w:before="0" w:after="80"/>
              <w:rPr>
                <w:b/>
                <w:bCs/>
                <w:lang w:eastAsia="en-GB"/>
              </w:rPr>
            </w:pPr>
            <w:r w:rsidRPr="00A263B2">
              <w:rPr>
                <w:b/>
                <w:bCs/>
              </w:rPr>
              <w:t>Details</w:t>
            </w:r>
          </w:p>
        </w:tc>
        <w:tc>
          <w:tcPr>
            <w:tcW w:w="2835" w:type="dxa"/>
            <w:shd w:val="clear" w:color="auto" w:fill="D9D9D9" w:themeFill="background1" w:themeFillShade="D9"/>
            <w:vAlign w:val="center"/>
            <w:hideMark/>
          </w:tcPr>
          <w:p w14:paraId="10220AA7"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6 April 2022</w:t>
            </w:r>
          </w:p>
        </w:tc>
        <w:tc>
          <w:tcPr>
            <w:tcW w:w="2835" w:type="dxa"/>
            <w:shd w:val="clear" w:color="auto" w:fill="D9D9D9" w:themeFill="background1" w:themeFillShade="D9"/>
            <w:vAlign w:val="center"/>
            <w:hideMark/>
          </w:tcPr>
          <w:p w14:paraId="04FF5DA5"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2023</w:t>
            </w:r>
          </w:p>
        </w:tc>
      </w:tr>
      <w:tr w:rsidR="001B0ACB" w:rsidRPr="001B0ACB" w14:paraId="3392A963" w14:textId="77777777" w:rsidTr="002A7222">
        <w:trPr>
          <w:trHeight w:val="397"/>
        </w:trPr>
        <w:tc>
          <w:tcPr>
            <w:tcW w:w="3392" w:type="dxa"/>
            <w:shd w:val="clear" w:color="auto" w:fill="auto"/>
            <w:vAlign w:val="center"/>
            <w:hideMark/>
          </w:tcPr>
          <w:p w14:paraId="5F767CBC" w14:textId="77777777" w:rsidR="001B0ACB" w:rsidRPr="001B0ACB" w:rsidRDefault="001B0ACB" w:rsidP="002A7222">
            <w:pPr>
              <w:pStyle w:val="BodyTextGrey"/>
              <w:spacing w:before="0" w:after="80"/>
            </w:pPr>
            <w:r w:rsidRPr="001B0ACB">
              <w:t>Pay</w:t>
            </w:r>
          </w:p>
        </w:tc>
        <w:tc>
          <w:tcPr>
            <w:tcW w:w="2835" w:type="dxa"/>
            <w:shd w:val="clear" w:color="auto" w:fill="auto"/>
            <w:vAlign w:val="center"/>
            <w:hideMark/>
          </w:tcPr>
          <w:p w14:paraId="5F9C3460" w14:textId="77777777" w:rsidR="001B0ACB" w:rsidRPr="001B0ACB" w:rsidRDefault="001B0ACB" w:rsidP="002A7222">
            <w:pPr>
              <w:pStyle w:val="BodyTextGrey"/>
              <w:spacing w:before="0" w:after="80"/>
            </w:pPr>
            <w:r w:rsidRPr="001B0ACB">
              <w:t>£108,000</w:t>
            </w:r>
          </w:p>
        </w:tc>
        <w:tc>
          <w:tcPr>
            <w:tcW w:w="2835" w:type="dxa"/>
            <w:shd w:val="clear" w:color="auto" w:fill="auto"/>
            <w:vAlign w:val="center"/>
            <w:hideMark/>
          </w:tcPr>
          <w:p w14:paraId="06923F4A" w14:textId="77777777" w:rsidR="001B0ACB" w:rsidRPr="001B0ACB" w:rsidRDefault="001B0ACB" w:rsidP="002A7222">
            <w:pPr>
              <w:pStyle w:val="BodyTextGrey"/>
              <w:spacing w:before="0" w:after="80"/>
            </w:pPr>
            <w:r w:rsidRPr="001B0ACB">
              <w:t>£110,000</w:t>
            </w:r>
          </w:p>
        </w:tc>
      </w:tr>
      <w:tr w:rsidR="001B0ACB" w:rsidRPr="001B0ACB" w14:paraId="59074453" w14:textId="77777777" w:rsidTr="002A7222">
        <w:trPr>
          <w:trHeight w:val="397"/>
        </w:trPr>
        <w:tc>
          <w:tcPr>
            <w:tcW w:w="3392" w:type="dxa"/>
            <w:shd w:val="clear" w:color="auto" w:fill="auto"/>
            <w:vAlign w:val="center"/>
            <w:hideMark/>
          </w:tcPr>
          <w:p w14:paraId="1C791AF3" w14:textId="77777777" w:rsidR="001B0ACB" w:rsidRPr="001B0ACB" w:rsidRDefault="001B0ACB" w:rsidP="002A7222">
            <w:pPr>
              <w:pStyle w:val="BodyTextGrey"/>
              <w:spacing w:before="0" w:after="80"/>
            </w:pPr>
            <w:r w:rsidRPr="001B0ACB">
              <w:t>Total Pension</w:t>
            </w:r>
          </w:p>
        </w:tc>
        <w:tc>
          <w:tcPr>
            <w:tcW w:w="2835" w:type="dxa"/>
            <w:shd w:val="clear" w:color="auto" w:fill="auto"/>
            <w:vAlign w:val="center"/>
            <w:hideMark/>
          </w:tcPr>
          <w:p w14:paraId="6D0BA9E7" w14:textId="77777777" w:rsidR="001B0ACB" w:rsidRPr="001B0ACB" w:rsidRDefault="001B0ACB" w:rsidP="002A7222">
            <w:pPr>
              <w:pStyle w:val="BodyTextGrey"/>
              <w:spacing w:before="0" w:after="80"/>
            </w:pPr>
            <w:r w:rsidRPr="001B0ACB">
              <w:t>£42,891.78</w:t>
            </w:r>
          </w:p>
        </w:tc>
        <w:tc>
          <w:tcPr>
            <w:tcW w:w="2835" w:type="dxa"/>
            <w:shd w:val="clear" w:color="auto" w:fill="auto"/>
            <w:vAlign w:val="center"/>
            <w:hideMark/>
          </w:tcPr>
          <w:p w14:paraId="7381E3A6" w14:textId="77777777" w:rsidR="001B0ACB" w:rsidRPr="001B0ACB" w:rsidRDefault="001B0ACB" w:rsidP="002A7222">
            <w:pPr>
              <w:pStyle w:val="BodyTextGrey"/>
              <w:spacing w:before="0" w:after="80"/>
            </w:pPr>
            <w:r w:rsidRPr="001B0ACB">
              <w:t>£45,602.01</w:t>
            </w:r>
          </w:p>
        </w:tc>
      </w:tr>
      <w:tr w:rsidR="001B0ACB" w:rsidRPr="001B0ACB" w14:paraId="073CFF93" w14:textId="77777777" w:rsidTr="002A7222">
        <w:trPr>
          <w:trHeight w:val="397"/>
        </w:trPr>
        <w:tc>
          <w:tcPr>
            <w:tcW w:w="3392" w:type="dxa"/>
            <w:shd w:val="clear" w:color="auto" w:fill="auto"/>
            <w:vAlign w:val="center"/>
            <w:hideMark/>
          </w:tcPr>
          <w:p w14:paraId="06D50916" w14:textId="77777777" w:rsidR="001B0ACB" w:rsidRPr="001B0ACB" w:rsidRDefault="001B0ACB" w:rsidP="002A7222">
            <w:pPr>
              <w:pStyle w:val="BodyTextGrey"/>
              <w:spacing w:before="0" w:after="80"/>
            </w:pPr>
            <w:r w:rsidRPr="001B0ACB">
              <w:t>Automatic Lump Sum</w:t>
            </w:r>
          </w:p>
        </w:tc>
        <w:tc>
          <w:tcPr>
            <w:tcW w:w="2835" w:type="dxa"/>
            <w:shd w:val="clear" w:color="auto" w:fill="auto"/>
            <w:vAlign w:val="center"/>
            <w:hideMark/>
          </w:tcPr>
          <w:p w14:paraId="35CA37CE" w14:textId="77777777" w:rsidR="001B0ACB" w:rsidRPr="001B0ACB" w:rsidRDefault="001B0ACB" w:rsidP="002A7222">
            <w:pPr>
              <w:pStyle w:val="BodyTextGrey"/>
              <w:spacing w:before="0" w:after="80"/>
            </w:pPr>
            <w:r w:rsidRPr="001B0ACB">
              <w:t>£42,530.55</w:t>
            </w:r>
          </w:p>
        </w:tc>
        <w:tc>
          <w:tcPr>
            <w:tcW w:w="2835" w:type="dxa"/>
            <w:shd w:val="clear" w:color="auto" w:fill="auto"/>
            <w:vAlign w:val="center"/>
            <w:hideMark/>
          </w:tcPr>
          <w:p w14:paraId="29CBB720" w14:textId="77777777" w:rsidR="001B0ACB" w:rsidRPr="001B0ACB" w:rsidRDefault="001B0ACB" w:rsidP="002A7222">
            <w:pPr>
              <w:pStyle w:val="BodyTextGrey"/>
              <w:spacing w:before="0" w:after="80"/>
            </w:pPr>
            <w:r w:rsidRPr="001B0ACB">
              <w:t>£43,318.15</w:t>
            </w:r>
          </w:p>
        </w:tc>
      </w:tr>
      <w:tr w:rsidR="001B0ACB" w:rsidRPr="001B0ACB" w14:paraId="35DA5DDD" w14:textId="77777777" w:rsidTr="002A064A">
        <w:trPr>
          <w:trHeight w:val="624"/>
        </w:trPr>
        <w:tc>
          <w:tcPr>
            <w:tcW w:w="3392" w:type="dxa"/>
            <w:shd w:val="clear" w:color="auto" w:fill="auto"/>
            <w:vAlign w:val="center"/>
            <w:hideMark/>
          </w:tcPr>
          <w:p w14:paraId="7B26C555" w14:textId="77777777" w:rsidR="001B0ACB" w:rsidRDefault="001B0ACB" w:rsidP="002A7222">
            <w:pPr>
              <w:pStyle w:val="BodyTextGrey"/>
              <w:spacing w:before="0" w:after="80"/>
            </w:pPr>
            <w:r w:rsidRPr="001B0ACB">
              <w:t>Final value of benefits</w:t>
            </w:r>
          </w:p>
          <w:p w14:paraId="4A255FAD" w14:textId="196D4EFC" w:rsidR="00747E05" w:rsidRPr="001B0ACB" w:rsidRDefault="00747E05" w:rsidP="002A7222">
            <w:pPr>
              <w:pStyle w:val="BodyTextGrey"/>
              <w:spacing w:before="0" w:after="80"/>
            </w:pPr>
            <w:r w:rsidRPr="001B0ACB">
              <w:t>(16*Pension + lump sum)</w:t>
            </w:r>
          </w:p>
        </w:tc>
        <w:tc>
          <w:tcPr>
            <w:tcW w:w="2835" w:type="dxa"/>
            <w:shd w:val="clear" w:color="auto" w:fill="auto"/>
            <w:vAlign w:val="center"/>
            <w:hideMark/>
          </w:tcPr>
          <w:p w14:paraId="60D039C2" w14:textId="76DC9C91" w:rsidR="00B363C6" w:rsidRPr="001B0ACB" w:rsidRDefault="001B0ACB" w:rsidP="002A7222">
            <w:pPr>
              <w:pStyle w:val="BodyTextGrey"/>
              <w:spacing w:before="0" w:after="80"/>
            </w:pPr>
            <w:bookmarkStart w:id="1" w:name="RANGE!D6"/>
            <w:r w:rsidRPr="001B0ACB">
              <w:t>£728,799.04</w:t>
            </w:r>
            <w:bookmarkEnd w:id="1"/>
            <w:r w:rsidR="009E0569">
              <w:t xml:space="preserve"> + 3.1%</w:t>
            </w:r>
            <w:r w:rsidR="00B363C6">
              <w:rPr>
                <w:rStyle w:val="FootnoteReference"/>
              </w:rPr>
              <w:footnoteReference w:id="8"/>
            </w:r>
            <w:r w:rsidR="009E0569">
              <w:t xml:space="preserve"> = </w:t>
            </w:r>
          </w:p>
          <w:p w14:paraId="16D44F4F" w14:textId="409E56D9" w:rsidR="001B0ACB" w:rsidRPr="00747E05" w:rsidRDefault="00B363C6" w:rsidP="002A7222">
            <w:pPr>
              <w:spacing w:before="0" w:after="80"/>
              <w:rPr>
                <w:rFonts w:ascii="Arial" w:hAnsi="Arial" w:cs="Arial"/>
                <w:iCs/>
                <w:color w:val="455560"/>
              </w:rPr>
            </w:pPr>
            <w:r w:rsidRPr="005073B7">
              <w:rPr>
                <w:rFonts w:ascii="Arial" w:hAnsi="Arial" w:cs="Arial"/>
                <w:iCs/>
                <w:color w:val="455560"/>
              </w:rPr>
              <w:t>£751,391.81</w:t>
            </w:r>
          </w:p>
        </w:tc>
        <w:tc>
          <w:tcPr>
            <w:tcW w:w="2835" w:type="dxa"/>
            <w:shd w:val="clear" w:color="auto" w:fill="auto"/>
            <w:vAlign w:val="center"/>
            <w:hideMark/>
          </w:tcPr>
          <w:p w14:paraId="69F34CE8" w14:textId="77777777" w:rsidR="001B0ACB" w:rsidRPr="001B0ACB" w:rsidRDefault="001B0ACB" w:rsidP="002A7222">
            <w:pPr>
              <w:pStyle w:val="BodyTextGrey"/>
              <w:spacing w:before="0" w:after="80"/>
            </w:pPr>
            <w:r w:rsidRPr="001B0ACB">
              <w:t>£772,950.29</w:t>
            </w:r>
          </w:p>
        </w:tc>
      </w:tr>
      <w:tr w:rsidR="001B0ACB" w:rsidRPr="001B0ACB" w14:paraId="36791187" w14:textId="77777777" w:rsidTr="002A064A">
        <w:trPr>
          <w:trHeight w:val="624"/>
        </w:trPr>
        <w:tc>
          <w:tcPr>
            <w:tcW w:w="3392" w:type="dxa"/>
            <w:shd w:val="clear" w:color="auto" w:fill="auto"/>
            <w:vAlign w:val="center"/>
            <w:hideMark/>
          </w:tcPr>
          <w:p w14:paraId="41AF3214" w14:textId="77777777" w:rsidR="001B0ACB" w:rsidRPr="001B0ACB" w:rsidRDefault="001B0ACB" w:rsidP="002A7222">
            <w:pPr>
              <w:pStyle w:val="BodyTextGrey"/>
              <w:spacing w:before="0" w:after="80"/>
            </w:pPr>
            <w:r w:rsidRPr="001B0ACB">
              <w:t>Increase in value over tax year (closing value less opening value)</w:t>
            </w:r>
          </w:p>
        </w:tc>
        <w:tc>
          <w:tcPr>
            <w:tcW w:w="2835" w:type="dxa"/>
            <w:shd w:val="clear" w:color="auto" w:fill="auto"/>
            <w:vAlign w:val="center"/>
            <w:hideMark/>
          </w:tcPr>
          <w:p w14:paraId="7920EF05" w14:textId="77777777" w:rsidR="001B0ACB" w:rsidRPr="001B0ACB" w:rsidRDefault="001B0ACB" w:rsidP="002A7222">
            <w:pPr>
              <w:pStyle w:val="BodyTextGrey"/>
              <w:spacing w:before="0" w:after="80"/>
            </w:pPr>
            <w:r w:rsidRPr="001B0ACB">
              <w:t> </w:t>
            </w:r>
          </w:p>
        </w:tc>
        <w:tc>
          <w:tcPr>
            <w:tcW w:w="2835" w:type="dxa"/>
            <w:shd w:val="clear" w:color="auto" w:fill="auto"/>
            <w:vAlign w:val="center"/>
            <w:hideMark/>
          </w:tcPr>
          <w:p w14:paraId="7F7E9723" w14:textId="77777777" w:rsidR="001B0ACB" w:rsidRPr="001B0ACB" w:rsidRDefault="001B0ACB" w:rsidP="002A7222">
            <w:pPr>
              <w:pStyle w:val="BodyTextGrey"/>
              <w:spacing w:before="0" w:after="80"/>
            </w:pPr>
            <w:r w:rsidRPr="001B0ACB">
              <w:t>£21,558.48</w:t>
            </w:r>
          </w:p>
        </w:tc>
      </w:tr>
      <w:tr w:rsidR="001B0ACB" w:rsidRPr="001B0ACB" w14:paraId="2A6E1B6E" w14:textId="77777777" w:rsidTr="002A064A">
        <w:trPr>
          <w:trHeight w:val="397"/>
        </w:trPr>
        <w:tc>
          <w:tcPr>
            <w:tcW w:w="3392" w:type="dxa"/>
            <w:shd w:val="clear" w:color="auto" w:fill="auto"/>
            <w:vAlign w:val="center"/>
            <w:hideMark/>
          </w:tcPr>
          <w:p w14:paraId="5DA22C9A" w14:textId="77777777" w:rsidR="001B0ACB" w:rsidRPr="001B0ACB" w:rsidRDefault="001B0ACB" w:rsidP="002A7222">
            <w:pPr>
              <w:pStyle w:val="BodyTextGrey"/>
              <w:spacing w:before="0" w:after="80"/>
            </w:pPr>
            <w:r w:rsidRPr="001B0ACB">
              <w:t>Standard annual allowance</w:t>
            </w:r>
          </w:p>
        </w:tc>
        <w:tc>
          <w:tcPr>
            <w:tcW w:w="2835" w:type="dxa"/>
            <w:shd w:val="clear" w:color="auto" w:fill="auto"/>
            <w:vAlign w:val="center"/>
            <w:hideMark/>
          </w:tcPr>
          <w:p w14:paraId="3195F181" w14:textId="77777777" w:rsidR="001B0ACB" w:rsidRPr="001B0ACB" w:rsidRDefault="001B0ACB" w:rsidP="002A7222">
            <w:pPr>
              <w:pStyle w:val="BodyTextGrey"/>
              <w:spacing w:before="0" w:after="80"/>
            </w:pPr>
            <w:r w:rsidRPr="001B0ACB">
              <w:t> </w:t>
            </w:r>
          </w:p>
        </w:tc>
        <w:tc>
          <w:tcPr>
            <w:tcW w:w="2835" w:type="dxa"/>
            <w:shd w:val="clear" w:color="auto" w:fill="auto"/>
            <w:vAlign w:val="center"/>
            <w:hideMark/>
          </w:tcPr>
          <w:p w14:paraId="605EA85F" w14:textId="77777777" w:rsidR="001B0ACB" w:rsidRPr="001B0ACB" w:rsidRDefault="001B0ACB" w:rsidP="002A7222">
            <w:pPr>
              <w:pStyle w:val="BodyTextGrey"/>
              <w:spacing w:before="0" w:after="80"/>
            </w:pPr>
            <w:r w:rsidRPr="001B0ACB">
              <w:t>£40,000</w:t>
            </w:r>
          </w:p>
        </w:tc>
      </w:tr>
      <w:tr w:rsidR="001B0ACB" w:rsidRPr="001B0ACB" w14:paraId="78307CC8" w14:textId="77777777" w:rsidTr="002A064A">
        <w:trPr>
          <w:trHeight w:val="624"/>
        </w:trPr>
        <w:tc>
          <w:tcPr>
            <w:tcW w:w="3392" w:type="dxa"/>
            <w:shd w:val="clear" w:color="auto" w:fill="auto"/>
            <w:vAlign w:val="center"/>
            <w:hideMark/>
          </w:tcPr>
          <w:p w14:paraId="5D1F1969" w14:textId="77777777" w:rsidR="001B0ACB" w:rsidRPr="001B0ACB" w:rsidRDefault="001B0ACB" w:rsidP="002A7222">
            <w:pPr>
              <w:pStyle w:val="BodyTextGrey"/>
              <w:spacing w:before="0" w:after="80"/>
            </w:pPr>
            <w:r w:rsidRPr="001B0ACB">
              <w:t xml:space="preserve">Amount in excess of annual allowance, </w:t>
            </w:r>
            <w:r w:rsidRPr="005073B7">
              <w:t>taxed as income</w:t>
            </w:r>
            <w:r w:rsidRPr="001B0ACB">
              <w:t xml:space="preserve">  </w:t>
            </w:r>
          </w:p>
        </w:tc>
        <w:tc>
          <w:tcPr>
            <w:tcW w:w="2835" w:type="dxa"/>
            <w:shd w:val="clear" w:color="auto" w:fill="auto"/>
            <w:vAlign w:val="center"/>
            <w:hideMark/>
          </w:tcPr>
          <w:p w14:paraId="0D1EB1CE" w14:textId="77777777" w:rsidR="001B0ACB" w:rsidRPr="001B0ACB" w:rsidRDefault="001B0ACB" w:rsidP="002A7222">
            <w:pPr>
              <w:pStyle w:val="BodyTextGrey"/>
              <w:spacing w:before="0" w:after="80"/>
            </w:pPr>
            <w:r w:rsidRPr="001B0ACB">
              <w:t> </w:t>
            </w:r>
          </w:p>
        </w:tc>
        <w:tc>
          <w:tcPr>
            <w:tcW w:w="2835" w:type="dxa"/>
            <w:shd w:val="clear" w:color="auto" w:fill="auto"/>
            <w:vAlign w:val="center"/>
            <w:hideMark/>
          </w:tcPr>
          <w:p w14:paraId="6D97EB73" w14:textId="77777777" w:rsidR="001B0ACB" w:rsidRPr="001B0ACB" w:rsidRDefault="001B0ACB" w:rsidP="002A7222">
            <w:pPr>
              <w:pStyle w:val="BodyTextGrey"/>
              <w:spacing w:before="0" w:after="80"/>
            </w:pPr>
            <w:r w:rsidRPr="001B0ACB">
              <w:t>£0.00</w:t>
            </w:r>
          </w:p>
        </w:tc>
      </w:tr>
      <w:tr w:rsidR="001B0ACB" w:rsidRPr="001B0ACB" w14:paraId="325412AC" w14:textId="77777777" w:rsidTr="002A064A">
        <w:trPr>
          <w:trHeight w:val="397"/>
        </w:trPr>
        <w:tc>
          <w:tcPr>
            <w:tcW w:w="3392" w:type="dxa"/>
            <w:shd w:val="clear" w:color="auto" w:fill="D9D9D9" w:themeFill="background1" w:themeFillShade="D9"/>
            <w:vAlign w:val="center"/>
            <w:hideMark/>
          </w:tcPr>
          <w:p w14:paraId="772FF4F9"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Details</w:t>
            </w:r>
          </w:p>
        </w:tc>
        <w:tc>
          <w:tcPr>
            <w:tcW w:w="2835" w:type="dxa"/>
            <w:shd w:val="clear" w:color="auto" w:fill="D9D9D9" w:themeFill="background1" w:themeFillShade="D9"/>
            <w:vAlign w:val="center"/>
            <w:hideMark/>
          </w:tcPr>
          <w:p w14:paraId="05D5D917"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2023</w:t>
            </w:r>
          </w:p>
        </w:tc>
        <w:tc>
          <w:tcPr>
            <w:tcW w:w="2835" w:type="dxa"/>
            <w:shd w:val="clear" w:color="auto" w:fill="D9D9D9" w:themeFill="background1" w:themeFillShade="D9"/>
            <w:vAlign w:val="center"/>
            <w:hideMark/>
          </w:tcPr>
          <w:p w14:paraId="77F5F8BB"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2024</w:t>
            </w:r>
          </w:p>
        </w:tc>
      </w:tr>
      <w:tr w:rsidR="001B0ACB" w:rsidRPr="001B0ACB" w14:paraId="3D78E739" w14:textId="77777777" w:rsidTr="002A064A">
        <w:trPr>
          <w:trHeight w:val="397"/>
        </w:trPr>
        <w:tc>
          <w:tcPr>
            <w:tcW w:w="3392" w:type="dxa"/>
            <w:shd w:val="clear" w:color="auto" w:fill="auto"/>
            <w:vAlign w:val="center"/>
            <w:hideMark/>
          </w:tcPr>
          <w:p w14:paraId="5E5D2A52"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Pay</w:t>
            </w:r>
          </w:p>
        </w:tc>
        <w:tc>
          <w:tcPr>
            <w:tcW w:w="2835" w:type="dxa"/>
            <w:shd w:val="clear" w:color="auto" w:fill="auto"/>
            <w:vAlign w:val="center"/>
            <w:hideMark/>
          </w:tcPr>
          <w:p w14:paraId="372D83D3"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£110,000</w:t>
            </w:r>
          </w:p>
        </w:tc>
        <w:tc>
          <w:tcPr>
            <w:tcW w:w="2835" w:type="dxa"/>
            <w:shd w:val="clear" w:color="auto" w:fill="auto"/>
            <w:vAlign w:val="center"/>
            <w:hideMark/>
          </w:tcPr>
          <w:p w14:paraId="68270F0A"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£120,000</w:t>
            </w:r>
          </w:p>
        </w:tc>
      </w:tr>
      <w:tr w:rsidR="001B0ACB" w:rsidRPr="001B0ACB" w14:paraId="4C24434A" w14:textId="77777777" w:rsidTr="002A064A">
        <w:trPr>
          <w:trHeight w:val="397"/>
        </w:trPr>
        <w:tc>
          <w:tcPr>
            <w:tcW w:w="3392" w:type="dxa"/>
            <w:shd w:val="clear" w:color="auto" w:fill="auto"/>
            <w:vAlign w:val="center"/>
            <w:hideMark/>
          </w:tcPr>
          <w:p w14:paraId="624B4175"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Total Pension</w:t>
            </w:r>
          </w:p>
        </w:tc>
        <w:tc>
          <w:tcPr>
            <w:tcW w:w="2835" w:type="dxa"/>
            <w:shd w:val="clear" w:color="auto" w:fill="auto"/>
            <w:vAlign w:val="center"/>
            <w:hideMark/>
          </w:tcPr>
          <w:p w14:paraId="7C1B17D7"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£45,602.01</w:t>
            </w:r>
          </w:p>
        </w:tc>
        <w:tc>
          <w:tcPr>
            <w:tcW w:w="2835" w:type="dxa"/>
            <w:shd w:val="clear" w:color="auto" w:fill="auto"/>
            <w:vAlign w:val="center"/>
            <w:hideMark/>
          </w:tcPr>
          <w:p w14:paraId="366E9A5A"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£52,399.49</w:t>
            </w:r>
          </w:p>
        </w:tc>
      </w:tr>
      <w:tr w:rsidR="001B0ACB" w:rsidRPr="001B0ACB" w14:paraId="40C7C1B7" w14:textId="77777777" w:rsidTr="002A064A">
        <w:trPr>
          <w:trHeight w:val="397"/>
        </w:trPr>
        <w:tc>
          <w:tcPr>
            <w:tcW w:w="3392" w:type="dxa"/>
            <w:shd w:val="clear" w:color="auto" w:fill="auto"/>
            <w:vAlign w:val="center"/>
            <w:hideMark/>
          </w:tcPr>
          <w:p w14:paraId="26364A7F"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Automatic Lump Sum</w:t>
            </w:r>
          </w:p>
        </w:tc>
        <w:tc>
          <w:tcPr>
            <w:tcW w:w="2835" w:type="dxa"/>
            <w:shd w:val="clear" w:color="auto" w:fill="auto"/>
            <w:vAlign w:val="center"/>
            <w:hideMark/>
          </w:tcPr>
          <w:p w14:paraId="0BD4B119"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£43,318.15</w:t>
            </w:r>
          </w:p>
        </w:tc>
        <w:tc>
          <w:tcPr>
            <w:tcW w:w="2835" w:type="dxa"/>
            <w:shd w:val="clear" w:color="auto" w:fill="auto"/>
            <w:vAlign w:val="center"/>
            <w:hideMark/>
          </w:tcPr>
          <w:p w14:paraId="799AC014" w14:textId="2BFFED58" w:rsidR="00523093"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£47,256.16</w:t>
            </w:r>
          </w:p>
        </w:tc>
      </w:tr>
      <w:tr w:rsidR="001B0ACB" w:rsidRPr="001B0ACB" w14:paraId="169674F1" w14:textId="77777777" w:rsidTr="002A064A">
        <w:trPr>
          <w:trHeight w:val="624"/>
        </w:trPr>
        <w:tc>
          <w:tcPr>
            <w:tcW w:w="3392" w:type="dxa"/>
            <w:shd w:val="clear" w:color="auto" w:fill="auto"/>
            <w:vAlign w:val="center"/>
            <w:hideMark/>
          </w:tcPr>
          <w:p w14:paraId="1313FB64" w14:textId="77777777" w:rsidR="001B0ACB" w:rsidRDefault="001B0ACB" w:rsidP="002A7222">
            <w:pPr>
              <w:pStyle w:val="BodyTextGrey"/>
              <w:spacing w:before="0" w:after="80"/>
            </w:pPr>
            <w:r w:rsidRPr="001B0ACB">
              <w:t>Final value of benefits</w:t>
            </w:r>
          </w:p>
          <w:p w14:paraId="4A5F6C76" w14:textId="009FEAA6" w:rsidR="00747E05" w:rsidRPr="001B0ACB" w:rsidRDefault="00747E05" w:rsidP="002A7222">
            <w:pPr>
              <w:pStyle w:val="BodyTextGrey"/>
              <w:spacing w:before="0" w:after="80"/>
            </w:pPr>
            <w:r w:rsidRPr="005073B7">
              <w:t>(16*Pension + lump sum)</w:t>
            </w:r>
          </w:p>
        </w:tc>
        <w:tc>
          <w:tcPr>
            <w:tcW w:w="2835" w:type="dxa"/>
            <w:shd w:val="clear" w:color="auto" w:fill="auto"/>
            <w:vAlign w:val="center"/>
            <w:hideMark/>
          </w:tcPr>
          <w:p w14:paraId="1469FC39" w14:textId="3D4C48A4" w:rsidR="004F04EE" w:rsidRPr="005073B7" w:rsidRDefault="001B0ACB" w:rsidP="002A7222">
            <w:pPr>
              <w:pStyle w:val="BodyTextGrey"/>
              <w:spacing w:before="0" w:after="80"/>
              <w:rPr>
                <w:iCs w:val="0"/>
                <w:lang w:eastAsia="en-GB"/>
              </w:rPr>
            </w:pPr>
            <w:bookmarkStart w:id="2" w:name="RANGE!D15"/>
            <w:r w:rsidRPr="005073B7">
              <w:rPr>
                <w:iCs w:val="0"/>
                <w:lang w:eastAsia="en-GB"/>
              </w:rPr>
              <w:t>£772,950.29</w:t>
            </w:r>
            <w:bookmarkEnd w:id="2"/>
            <w:r w:rsidR="000104BD" w:rsidRPr="005073B7">
              <w:rPr>
                <w:iCs w:val="0"/>
                <w:lang w:eastAsia="en-GB"/>
              </w:rPr>
              <w:t xml:space="preserve"> + 10.1%</w:t>
            </w:r>
            <w:r w:rsidR="004F04EE">
              <w:rPr>
                <w:rStyle w:val="FootnoteReference"/>
                <w:iCs w:val="0"/>
                <w:lang w:eastAsia="en-GB"/>
              </w:rPr>
              <w:footnoteReference w:id="9"/>
            </w:r>
            <w:r w:rsidR="000104BD" w:rsidRPr="005073B7">
              <w:rPr>
                <w:iCs w:val="0"/>
                <w:lang w:eastAsia="en-GB"/>
              </w:rPr>
              <w:t xml:space="preserve"> = </w:t>
            </w:r>
          </w:p>
          <w:p w14:paraId="49D0C2AF" w14:textId="11F98214" w:rsidR="001B0ACB" w:rsidRPr="005073B7" w:rsidRDefault="004F04EE" w:rsidP="002A7222">
            <w:pPr>
              <w:pStyle w:val="BodyTextGrey"/>
              <w:spacing w:before="0" w:after="80"/>
              <w:rPr>
                <w:lang w:eastAsia="en-GB"/>
              </w:rPr>
            </w:pPr>
            <w:r w:rsidRPr="005073B7">
              <w:rPr>
                <w:iCs w:val="0"/>
                <w:lang w:eastAsia="en-GB"/>
              </w:rPr>
              <w:t>£851,018.27</w:t>
            </w:r>
          </w:p>
        </w:tc>
        <w:tc>
          <w:tcPr>
            <w:tcW w:w="2835" w:type="dxa"/>
            <w:shd w:val="clear" w:color="auto" w:fill="auto"/>
            <w:vAlign w:val="center"/>
            <w:hideMark/>
          </w:tcPr>
          <w:p w14:paraId="68C988EA" w14:textId="77777777" w:rsidR="001B0ACB" w:rsidRPr="001B0ACB" w:rsidRDefault="001B0ACB" w:rsidP="002A7222">
            <w:pPr>
              <w:pStyle w:val="BodyTextGrey"/>
              <w:spacing w:before="0" w:after="80"/>
            </w:pPr>
            <w:r w:rsidRPr="005073B7">
              <w:rPr>
                <w:iCs w:val="0"/>
                <w:lang w:eastAsia="en-GB"/>
              </w:rPr>
              <w:t>£885,648.03</w:t>
            </w:r>
          </w:p>
        </w:tc>
      </w:tr>
      <w:tr w:rsidR="001B0ACB" w:rsidRPr="001B0ACB" w14:paraId="484FCECD" w14:textId="77777777" w:rsidTr="002A7222">
        <w:trPr>
          <w:trHeight w:val="624"/>
        </w:trPr>
        <w:tc>
          <w:tcPr>
            <w:tcW w:w="3392" w:type="dxa"/>
            <w:shd w:val="clear" w:color="auto" w:fill="auto"/>
            <w:vAlign w:val="center"/>
            <w:hideMark/>
          </w:tcPr>
          <w:p w14:paraId="419CEE54" w14:textId="77777777" w:rsidR="001B0ACB" w:rsidRPr="0045617F" w:rsidRDefault="001B0ACB" w:rsidP="002A7222">
            <w:pPr>
              <w:pStyle w:val="BodyTextGrey"/>
              <w:spacing w:before="0" w:after="80"/>
              <w:rPr>
                <w:lang w:eastAsia="en-GB"/>
              </w:rPr>
            </w:pPr>
            <w:r w:rsidRPr="0045617F">
              <w:rPr>
                <w:lang w:eastAsia="en-GB"/>
              </w:rPr>
              <w:t>Increase in value over tax year (closing value less opening value)</w:t>
            </w:r>
          </w:p>
        </w:tc>
        <w:tc>
          <w:tcPr>
            <w:tcW w:w="2835" w:type="dxa"/>
            <w:shd w:val="clear" w:color="auto" w:fill="auto"/>
            <w:vAlign w:val="center"/>
            <w:hideMark/>
          </w:tcPr>
          <w:p w14:paraId="3C6FF5CA" w14:textId="77777777" w:rsidR="001B0ACB" w:rsidRPr="0045617F" w:rsidRDefault="001B0ACB" w:rsidP="002A7222">
            <w:pPr>
              <w:pStyle w:val="BodyTextGrey"/>
              <w:spacing w:before="0" w:after="80"/>
              <w:rPr>
                <w:lang w:eastAsia="en-GB"/>
              </w:rPr>
            </w:pPr>
            <w:r w:rsidRPr="0045617F">
              <w:rPr>
                <w:lang w:eastAsia="en-GB"/>
              </w:rPr>
              <w:t> </w:t>
            </w:r>
          </w:p>
        </w:tc>
        <w:tc>
          <w:tcPr>
            <w:tcW w:w="2835" w:type="dxa"/>
            <w:shd w:val="clear" w:color="auto" w:fill="auto"/>
            <w:vAlign w:val="center"/>
            <w:hideMark/>
          </w:tcPr>
          <w:p w14:paraId="2E352817" w14:textId="77777777" w:rsidR="001B0ACB" w:rsidRPr="0045617F" w:rsidRDefault="001B0ACB" w:rsidP="002A7222">
            <w:pPr>
              <w:pStyle w:val="BodyTextGrey"/>
              <w:spacing w:before="0" w:after="80"/>
              <w:rPr>
                <w:lang w:eastAsia="en-GB"/>
              </w:rPr>
            </w:pPr>
            <w:r w:rsidRPr="0045617F">
              <w:rPr>
                <w:lang w:eastAsia="en-GB"/>
              </w:rPr>
              <w:t>£34,629.77</w:t>
            </w:r>
          </w:p>
        </w:tc>
      </w:tr>
      <w:tr w:rsidR="001B0ACB" w:rsidRPr="001B0ACB" w14:paraId="39E416F3" w14:textId="77777777" w:rsidTr="002A064A">
        <w:trPr>
          <w:trHeight w:val="397"/>
        </w:trPr>
        <w:tc>
          <w:tcPr>
            <w:tcW w:w="3392" w:type="dxa"/>
            <w:shd w:val="clear" w:color="auto" w:fill="auto"/>
            <w:vAlign w:val="center"/>
            <w:hideMark/>
          </w:tcPr>
          <w:p w14:paraId="38BD5D26" w14:textId="77777777" w:rsidR="001B0ACB" w:rsidRPr="0045617F" w:rsidRDefault="001B0ACB" w:rsidP="002A7222">
            <w:pPr>
              <w:pStyle w:val="BodyTextGrey"/>
              <w:spacing w:before="0" w:after="80"/>
              <w:rPr>
                <w:lang w:eastAsia="en-GB"/>
              </w:rPr>
            </w:pPr>
            <w:r w:rsidRPr="0045617F">
              <w:rPr>
                <w:lang w:eastAsia="en-GB"/>
              </w:rPr>
              <w:t>Standard annual allowance</w:t>
            </w:r>
          </w:p>
        </w:tc>
        <w:tc>
          <w:tcPr>
            <w:tcW w:w="2835" w:type="dxa"/>
            <w:shd w:val="clear" w:color="auto" w:fill="auto"/>
            <w:vAlign w:val="center"/>
            <w:hideMark/>
          </w:tcPr>
          <w:p w14:paraId="53AB4A01" w14:textId="77777777" w:rsidR="001B0ACB" w:rsidRPr="0045617F" w:rsidRDefault="001B0ACB" w:rsidP="002A7222">
            <w:pPr>
              <w:pStyle w:val="BodyTextGrey"/>
              <w:spacing w:before="0" w:after="80"/>
              <w:rPr>
                <w:lang w:eastAsia="en-GB"/>
              </w:rPr>
            </w:pPr>
            <w:r w:rsidRPr="0045617F">
              <w:rPr>
                <w:lang w:eastAsia="en-GB"/>
              </w:rPr>
              <w:t> </w:t>
            </w:r>
          </w:p>
        </w:tc>
        <w:tc>
          <w:tcPr>
            <w:tcW w:w="2835" w:type="dxa"/>
            <w:shd w:val="clear" w:color="auto" w:fill="auto"/>
            <w:vAlign w:val="center"/>
            <w:hideMark/>
          </w:tcPr>
          <w:p w14:paraId="6D42E1FA" w14:textId="77777777" w:rsidR="001B0ACB" w:rsidRPr="00FA6A75" w:rsidRDefault="001B0ACB" w:rsidP="002A7222">
            <w:pPr>
              <w:pStyle w:val="BodyTextGrey"/>
              <w:spacing w:before="0" w:after="80"/>
              <w:rPr>
                <w:b/>
                <w:bCs/>
                <w:lang w:eastAsia="en-GB"/>
              </w:rPr>
            </w:pPr>
            <w:r w:rsidRPr="00FA6A75">
              <w:rPr>
                <w:b/>
                <w:bCs/>
                <w:lang w:eastAsia="en-GB"/>
              </w:rPr>
              <w:t>£60,000</w:t>
            </w:r>
          </w:p>
        </w:tc>
      </w:tr>
      <w:tr w:rsidR="001B0ACB" w:rsidRPr="001B0ACB" w14:paraId="3FDCD65F" w14:textId="77777777" w:rsidTr="002A064A">
        <w:trPr>
          <w:trHeight w:val="624"/>
        </w:trPr>
        <w:tc>
          <w:tcPr>
            <w:tcW w:w="3392" w:type="dxa"/>
            <w:shd w:val="clear" w:color="auto" w:fill="auto"/>
            <w:vAlign w:val="center"/>
            <w:hideMark/>
          </w:tcPr>
          <w:p w14:paraId="7E514E1A" w14:textId="77777777" w:rsidR="001B0ACB" w:rsidRPr="0045617F" w:rsidRDefault="001B0ACB" w:rsidP="002A7222">
            <w:pPr>
              <w:pStyle w:val="BodyTextGrey"/>
              <w:spacing w:before="0" w:after="80"/>
              <w:rPr>
                <w:lang w:eastAsia="en-GB"/>
              </w:rPr>
            </w:pPr>
            <w:r w:rsidRPr="0045617F">
              <w:rPr>
                <w:lang w:eastAsia="en-GB"/>
              </w:rPr>
              <w:t xml:space="preserve">Amount in excess of annual allowance, </w:t>
            </w:r>
            <w:r w:rsidRPr="005073B7">
              <w:rPr>
                <w:lang w:eastAsia="en-GB"/>
              </w:rPr>
              <w:t xml:space="preserve">taxed as income </w:t>
            </w:r>
            <w:r w:rsidRPr="0045617F">
              <w:rPr>
                <w:lang w:eastAsia="en-GB"/>
              </w:rPr>
              <w:t xml:space="preserve"> </w:t>
            </w:r>
          </w:p>
        </w:tc>
        <w:tc>
          <w:tcPr>
            <w:tcW w:w="2835" w:type="dxa"/>
            <w:shd w:val="clear" w:color="auto" w:fill="auto"/>
            <w:vAlign w:val="center"/>
            <w:hideMark/>
          </w:tcPr>
          <w:p w14:paraId="102E35E2" w14:textId="77777777" w:rsidR="001B0ACB" w:rsidRPr="0045617F" w:rsidRDefault="001B0ACB" w:rsidP="002A7222">
            <w:pPr>
              <w:pStyle w:val="BodyTextGrey"/>
              <w:spacing w:before="0" w:after="80"/>
              <w:rPr>
                <w:lang w:eastAsia="en-GB"/>
              </w:rPr>
            </w:pPr>
            <w:r w:rsidRPr="0045617F">
              <w:rPr>
                <w:lang w:eastAsia="en-GB"/>
              </w:rPr>
              <w:t> </w:t>
            </w:r>
          </w:p>
        </w:tc>
        <w:tc>
          <w:tcPr>
            <w:tcW w:w="2835" w:type="dxa"/>
            <w:shd w:val="clear" w:color="auto" w:fill="auto"/>
            <w:vAlign w:val="center"/>
            <w:hideMark/>
          </w:tcPr>
          <w:p w14:paraId="57D5CB15" w14:textId="77777777" w:rsidR="001B0ACB" w:rsidRPr="0045617F" w:rsidRDefault="001B0ACB" w:rsidP="002A7222">
            <w:pPr>
              <w:pStyle w:val="BodyTextGrey"/>
              <w:spacing w:before="0" w:after="80"/>
              <w:rPr>
                <w:lang w:eastAsia="en-GB"/>
              </w:rPr>
            </w:pPr>
            <w:r w:rsidRPr="0045617F">
              <w:rPr>
                <w:lang w:eastAsia="en-GB"/>
              </w:rPr>
              <w:t>£0.00</w:t>
            </w:r>
          </w:p>
        </w:tc>
      </w:tr>
      <w:tr w:rsidR="001B0ACB" w:rsidRPr="001B0ACB" w14:paraId="219A7561" w14:textId="77777777" w:rsidTr="002A064A">
        <w:trPr>
          <w:trHeight w:val="397"/>
        </w:trPr>
        <w:tc>
          <w:tcPr>
            <w:tcW w:w="3392" w:type="dxa"/>
            <w:shd w:val="clear" w:color="auto" w:fill="D9D9D9" w:themeFill="background1" w:themeFillShade="D9"/>
            <w:vAlign w:val="center"/>
            <w:hideMark/>
          </w:tcPr>
          <w:p w14:paraId="1618CA03"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Details</w:t>
            </w:r>
          </w:p>
        </w:tc>
        <w:tc>
          <w:tcPr>
            <w:tcW w:w="2835" w:type="dxa"/>
            <w:shd w:val="clear" w:color="auto" w:fill="D9D9D9" w:themeFill="background1" w:themeFillShade="D9"/>
            <w:vAlign w:val="center"/>
            <w:hideMark/>
          </w:tcPr>
          <w:p w14:paraId="500AA437"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2024</w:t>
            </w:r>
          </w:p>
        </w:tc>
        <w:tc>
          <w:tcPr>
            <w:tcW w:w="2835" w:type="dxa"/>
            <w:shd w:val="clear" w:color="auto" w:fill="D9D9D9" w:themeFill="background1" w:themeFillShade="D9"/>
            <w:vAlign w:val="center"/>
            <w:hideMark/>
          </w:tcPr>
          <w:p w14:paraId="434AA4A0" w14:textId="77777777" w:rsidR="001B0ACB" w:rsidRPr="00A263B2" w:rsidRDefault="001B0ACB"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2025</w:t>
            </w:r>
          </w:p>
        </w:tc>
      </w:tr>
      <w:tr w:rsidR="001B0ACB" w:rsidRPr="001B0ACB" w14:paraId="740E2766" w14:textId="77777777" w:rsidTr="002A064A">
        <w:trPr>
          <w:trHeight w:val="397"/>
        </w:trPr>
        <w:tc>
          <w:tcPr>
            <w:tcW w:w="3392" w:type="dxa"/>
            <w:shd w:val="clear" w:color="auto" w:fill="auto"/>
            <w:vAlign w:val="center"/>
            <w:hideMark/>
          </w:tcPr>
          <w:p w14:paraId="3D95C941" w14:textId="77777777" w:rsidR="001B0ACB" w:rsidRPr="001B0ACB" w:rsidRDefault="001B0ACB" w:rsidP="002A7222">
            <w:pPr>
              <w:pStyle w:val="BodyTextGrey"/>
              <w:spacing w:before="0" w:after="80"/>
              <w:rPr>
                <w:lang w:eastAsia="en-GB"/>
              </w:rPr>
            </w:pPr>
            <w:r w:rsidRPr="001B0ACB">
              <w:rPr>
                <w:lang w:eastAsia="en-GB"/>
              </w:rPr>
              <w:t>Pay</w:t>
            </w:r>
          </w:p>
        </w:tc>
        <w:tc>
          <w:tcPr>
            <w:tcW w:w="2835" w:type="dxa"/>
            <w:shd w:val="clear" w:color="auto" w:fill="auto"/>
            <w:vAlign w:val="center"/>
            <w:hideMark/>
          </w:tcPr>
          <w:p w14:paraId="3656933D" w14:textId="77777777" w:rsidR="001B0ACB" w:rsidRPr="001B0ACB" w:rsidRDefault="001B0ACB" w:rsidP="002A7222">
            <w:pPr>
              <w:pStyle w:val="BodyTextGrey"/>
              <w:spacing w:before="0" w:after="80"/>
              <w:rPr>
                <w:lang w:eastAsia="en-GB"/>
              </w:rPr>
            </w:pPr>
            <w:r w:rsidRPr="001B0ACB">
              <w:rPr>
                <w:lang w:eastAsia="en-GB"/>
              </w:rPr>
              <w:t>£120,000</w:t>
            </w:r>
          </w:p>
        </w:tc>
        <w:tc>
          <w:tcPr>
            <w:tcW w:w="2835" w:type="dxa"/>
            <w:shd w:val="clear" w:color="auto" w:fill="auto"/>
            <w:vAlign w:val="center"/>
            <w:hideMark/>
          </w:tcPr>
          <w:p w14:paraId="325B4FB9" w14:textId="77777777" w:rsidR="001B0ACB" w:rsidRPr="001B0ACB" w:rsidRDefault="001B0ACB" w:rsidP="002A7222">
            <w:pPr>
              <w:pStyle w:val="BodyTextGrey"/>
              <w:spacing w:before="0" w:after="80"/>
              <w:rPr>
                <w:lang w:eastAsia="en-GB"/>
              </w:rPr>
            </w:pPr>
            <w:r w:rsidRPr="001B0ACB">
              <w:rPr>
                <w:lang w:eastAsia="en-GB"/>
              </w:rPr>
              <w:t>£130,000</w:t>
            </w:r>
          </w:p>
        </w:tc>
      </w:tr>
      <w:tr w:rsidR="001B0ACB" w:rsidRPr="001B0ACB" w14:paraId="5CF8A677" w14:textId="77777777" w:rsidTr="002A064A">
        <w:trPr>
          <w:trHeight w:val="397"/>
        </w:trPr>
        <w:tc>
          <w:tcPr>
            <w:tcW w:w="3392" w:type="dxa"/>
            <w:shd w:val="clear" w:color="auto" w:fill="auto"/>
            <w:vAlign w:val="center"/>
            <w:hideMark/>
          </w:tcPr>
          <w:p w14:paraId="5E0A60ED" w14:textId="77777777" w:rsidR="001B0ACB" w:rsidRPr="001B0ACB" w:rsidRDefault="001B0ACB" w:rsidP="002A7222">
            <w:pPr>
              <w:pStyle w:val="BodyTextGrey"/>
              <w:spacing w:before="0" w:after="80"/>
              <w:rPr>
                <w:lang w:eastAsia="en-GB"/>
              </w:rPr>
            </w:pPr>
            <w:r w:rsidRPr="001B0ACB">
              <w:rPr>
                <w:lang w:eastAsia="en-GB"/>
              </w:rPr>
              <w:t>Total Pension</w:t>
            </w:r>
          </w:p>
        </w:tc>
        <w:tc>
          <w:tcPr>
            <w:tcW w:w="2835" w:type="dxa"/>
            <w:shd w:val="clear" w:color="auto" w:fill="auto"/>
            <w:vAlign w:val="center"/>
            <w:hideMark/>
          </w:tcPr>
          <w:p w14:paraId="4F353B17" w14:textId="77777777" w:rsidR="001B0ACB" w:rsidRPr="001B0ACB" w:rsidRDefault="001B0ACB" w:rsidP="002A7222">
            <w:pPr>
              <w:pStyle w:val="BodyTextGrey"/>
              <w:spacing w:before="0" w:after="80"/>
              <w:rPr>
                <w:lang w:eastAsia="en-GB"/>
              </w:rPr>
            </w:pPr>
            <w:r w:rsidRPr="001B0ACB">
              <w:rPr>
                <w:lang w:eastAsia="en-GB"/>
              </w:rPr>
              <w:t>£52,399.49</w:t>
            </w:r>
          </w:p>
        </w:tc>
        <w:tc>
          <w:tcPr>
            <w:tcW w:w="2835" w:type="dxa"/>
            <w:shd w:val="clear" w:color="auto" w:fill="auto"/>
            <w:vAlign w:val="center"/>
            <w:hideMark/>
          </w:tcPr>
          <w:p w14:paraId="4828B6C6" w14:textId="77777777" w:rsidR="001B0ACB" w:rsidRPr="001B0ACB" w:rsidRDefault="001B0ACB" w:rsidP="002A7222">
            <w:pPr>
              <w:pStyle w:val="BodyTextGrey"/>
              <w:spacing w:before="0" w:after="80"/>
              <w:rPr>
                <w:lang w:eastAsia="en-GB"/>
              </w:rPr>
            </w:pPr>
            <w:r w:rsidRPr="001B0ACB">
              <w:rPr>
                <w:lang w:eastAsia="en-GB"/>
              </w:rPr>
              <w:t>£59,211.62</w:t>
            </w:r>
          </w:p>
        </w:tc>
      </w:tr>
      <w:tr w:rsidR="001B0ACB" w:rsidRPr="001B0ACB" w14:paraId="52F48ED0" w14:textId="77777777" w:rsidTr="002A064A">
        <w:trPr>
          <w:trHeight w:val="397"/>
        </w:trPr>
        <w:tc>
          <w:tcPr>
            <w:tcW w:w="3392" w:type="dxa"/>
            <w:shd w:val="clear" w:color="auto" w:fill="auto"/>
            <w:vAlign w:val="center"/>
            <w:hideMark/>
          </w:tcPr>
          <w:p w14:paraId="4A170995" w14:textId="77777777" w:rsidR="001B0ACB" w:rsidRPr="001B0ACB" w:rsidRDefault="001B0ACB" w:rsidP="002A7222">
            <w:pPr>
              <w:pStyle w:val="BodyTextGrey"/>
              <w:spacing w:before="0" w:after="80"/>
              <w:rPr>
                <w:lang w:eastAsia="en-GB"/>
              </w:rPr>
            </w:pPr>
            <w:r w:rsidRPr="001B0ACB">
              <w:rPr>
                <w:lang w:eastAsia="en-GB"/>
              </w:rPr>
              <w:t>Automatic Lump Sum</w:t>
            </w:r>
          </w:p>
        </w:tc>
        <w:tc>
          <w:tcPr>
            <w:tcW w:w="2835" w:type="dxa"/>
            <w:shd w:val="clear" w:color="auto" w:fill="auto"/>
            <w:vAlign w:val="center"/>
            <w:hideMark/>
          </w:tcPr>
          <w:p w14:paraId="70D7779C" w14:textId="77777777" w:rsidR="001B0ACB" w:rsidRPr="001B0ACB" w:rsidRDefault="001B0ACB" w:rsidP="002A7222">
            <w:pPr>
              <w:pStyle w:val="BodyTextGrey"/>
              <w:spacing w:before="0" w:after="80"/>
              <w:rPr>
                <w:lang w:eastAsia="en-GB"/>
              </w:rPr>
            </w:pPr>
            <w:r w:rsidRPr="001B0ACB">
              <w:rPr>
                <w:lang w:eastAsia="en-GB"/>
              </w:rPr>
              <w:t>£47,256.16</w:t>
            </w:r>
          </w:p>
        </w:tc>
        <w:tc>
          <w:tcPr>
            <w:tcW w:w="2835" w:type="dxa"/>
            <w:shd w:val="clear" w:color="auto" w:fill="auto"/>
            <w:vAlign w:val="center"/>
            <w:hideMark/>
          </w:tcPr>
          <w:p w14:paraId="15149DC0" w14:textId="77777777" w:rsidR="001B0ACB" w:rsidRPr="001B0ACB" w:rsidRDefault="001B0ACB" w:rsidP="002A7222">
            <w:pPr>
              <w:pStyle w:val="BodyTextGrey"/>
              <w:spacing w:before="0" w:after="80"/>
              <w:rPr>
                <w:lang w:eastAsia="en-GB"/>
              </w:rPr>
            </w:pPr>
            <w:r w:rsidRPr="001B0ACB">
              <w:rPr>
                <w:lang w:eastAsia="en-GB"/>
              </w:rPr>
              <w:t>£51,194.18</w:t>
            </w:r>
          </w:p>
        </w:tc>
      </w:tr>
      <w:tr w:rsidR="001B0ACB" w:rsidRPr="001B0ACB" w14:paraId="68254C0A" w14:textId="77777777" w:rsidTr="002A064A">
        <w:trPr>
          <w:trHeight w:val="737"/>
        </w:trPr>
        <w:tc>
          <w:tcPr>
            <w:tcW w:w="3392" w:type="dxa"/>
            <w:shd w:val="clear" w:color="auto" w:fill="auto"/>
            <w:vAlign w:val="center"/>
            <w:hideMark/>
          </w:tcPr>
          <w:p w14:paraId="6255E783" w14:textId="77777777" w:rsidR="00747E05" w:rsidRDefault="001B0ACB" w:rsidP="002A7222">
            <w:pPr>
              <w:pStyle w:val="BodyTextGrey"/>
              <w:spacing w:before="0" w:after="80"/>
              <w:rPr>
                <w:lang w:eastAsia="en-GB"/>
              </w:rPr>
            </w:pPr>
            <w:r w:rsidRPr="001B0ACB">
              <w:rPr>
                <w:lang w:eastAsia="en-GB"/>
              </w:rPr>
              <w:t>Final value of benefits</w:t>
            </w:r>
          </w:p>
          <w:p w14:paraId="0B17A705" w14:textId="1CD2E989" w:rsidR="001B0ACB" w:rsidRPr="001B0ACB" w:rsidRDefault="001B0ACB" w:rsidP="002A7222">
            <w:pPr>
              <w:pStyle w:val="BodyTextGrey"/>
              <w:spacing w:before="0" w:after="80"/>
              <w:rPr>
                <w:lang w:eastAsia="en-GB"/>
              </w:rPr>
            </w:pPr>
            <w:r w:rsidRPr="001B0ACB">
              <w:rPr>
                <w:lang w:eastAsia="en-GB"/>
              </w:rPr>
              <w:t>(16*Pension + lump sum)</w:t>
            </w:r>
          </w:p>
        </w:tc>
        <w:tc>
          <w:tcPr>
            <w:tcW w:w="2835" w:type="dxa"/>
            <w:shd w:val="clear" w:color="auto" w:fill="auto"/>
            <w:vAlign w:val="center"/>
            <w:hideMark/>
          </w:tcPr>
          <w:p w14:paraId="0D6DE633" w14:textId="77777777" w:rsidR="00D17241" w:rsidRPr="005073B7" w:rsidRDefault="001B0ACB" w:rsidP="002A7222">
            <w:pPr>
              <w:pStyle w:val="BodyTextGrey"/>
              <w:spacing w:before="0" w:after="80"/>
            </w:pPr>
            <w:bookmarkStart w:id="3" w:name="RANGE!D24"/>
            <w:r w:rsidRPr="005073B7">
              <w:t>£885,648.03</w:t>
            </w:r>
            <w:bookmarkEnd w:id="3"/>
            <w:r w:rsidR="00F8228A" w:rsidRPr="005073B7">
              <w:t xml:space="preserve"> + 7.5%</w:t>
            </w:r>
            <w:r w:rsidR="00C725DE" w:rsidRPr="005073B7">
              <w:rPr>
                <w:rStyle w:val="FootnoteReference"/>
              </w:rPr>
              <w:footnoteReference w:id="10"/>
            </w:r>
            <w:r w:rsidR="00F8228A" w:rsidRPr="005073B7">
              <w:t xml:space="preserve"> </w:t>
            </w:r>
            <w:r w:rsidR="00C725DE" w:rsidRPr="005073B7">
              <w:t xml:space="preserve">= </w:t>
            </w:r>
          </w:p>
          <w:p w14:paraId="256F1C0C" w14:textId="149F7604" w:rsidR="001B0ACB" w:rsidRPr="001B0ACB" w:rsidRDefault="00D17241" w:rsidP="002A7222">
            <w:pPr>
              <w:pStyle w:val="BodyTextGrey"/>
              <w:spacing w:before="0" w:after="80"/>
              <w:rPr>
                <w:lang w:eastAsia="en-GB"/>
              </w:rPr>
            </w:pPr>
            <w:r w:rsidRPr="005073B7">
              <w:t>£952,071.64</w:t>
            </w:r>
          </w:p>
        </w:tc>
        <w:tc>
          <w:tcPr>
            <w:tcW w:w="2835" w:type="dxa"/>
            <w:shd w:val="clear" w:color="auto" w:fill="auto"/>
            <w:vAlign w:val="center"/>
            <w:hideMark/>
          </w:tcPr>
          <w:p w14:paraId="3293B8CD" w14:textId="77777777" w:rsidR="001B0ACB" w:rsidRPr="001B0ACB" w:rsidRDefault="001B0ACB" w:rsidP="002A7222">
            <w:pPr>
              <w:pStyle w:val="BodyTextGrey"/>
              <w:spacing w:before="0" w:after="80"/>
              <w:rPr>
                <w:lang w:eastAsia="en-GB"/>
              </w:rPr>
            </w:pPr>
            <w:r w:rsidRPr="001B0ACB">
              <w:rPr>
                <w:lang w:eastAsia="en-GB"/>
              </w:rPr>
              <w:t>£998,580.03</w:t>
            </w:r>
          </w:p>
        </w:tc>
      </w:tr>
      <w:tr w:rsidR="001B0ACB" w:rsidRPr="001B0ACB" w14:paraId="7AE1C8EE" w14:textId="77777777" w:rsidTr="002A064A">
        <w:trPr>
          <w:trHeight w:val="737"/>
        </w:trPr>
        <w:tc>
          <w:tcPr>
            <w:tcW w:w="3392" w:type="dxa"/>
            <w:shd w:val="clear" w:color="auto" w:fill="auto"/>
            <w:vAlign w:val="center"/>
            <w:hideMark/>
          </w:tcPr>
          <w:p w14:paraId="0156F4C3" w14:textId="77777777" w:rsidR="001B0ACB" w:rsidRPr="001B0ACB" w:rsidRDefault="001B0ACB" w:rsidP="002A7222">
            <w:pPr>
              <w:pStyle w:val="BodyTextGrey"/>
              <w:spacing w:before="0" w:after="80"/>
              <w:rPr>
                <w:lang w:eastAsia="en-GB"/>
              </w:rPr>
            </w:pPr>
            <w:r w:rsidRPr="001B0ACB">
              <w:rPr>
                <w:lang w:eastAsia="en-GB"/>
              </w:rPr>
              <w:t>Increase in value over tax year (closing value less opening value)</w:t>
            </w:r>
          </w:p>
        </w:tc>
        <w:tc>
          <w:tcPr>
            <w:tcW w:w="2835" w:type="dxa"/>
            <w:shd w:val="clear" w:color="auto" w:fill="auto"/>
            <w:vAlign w:val="center"/>
            <w:hideMark/>
          </w:tcPr>
          <w:p w14:paraId="7FF87BDB" w14:textId="77777777" w:rsidR="001B0ACB" w:rsidRPr="001B0ACB" w:rsidRDefault="001B0ACB" w:rsidP="002A7222">
            <w:pPr>
              <w:pStyle w:val="BodyTextGrey"/>
              <w:spacing w:before="0" w:after="80"/>
              <w:rPr>
                <w:lang w:eastAsia="en-GB"/>
              </w:rPr>
            </w:pPr>
            <w:r w:rsidRPr="001B0ACB">
              <w:rPr>
                <w:lang w:eastAsia="en-GB"/>
              </w:rPr>
              <w:t> </w:t>
            </w:r>
          </w:p>
        </w:tc>
        <w:tc>
          <w:tcPr>
            <w:tcW w:w="2835" w:type="dxa"/>
            <w:shd w:val="clear" w:color="auto" w:fill="auto"/>
            <w:vAlign w:val="center"/>
            <w:hideMark/>
          </w:tcPr>
          <w:p w14:paraId="7AB48867" w14:textId="77777777" w:rsidR="001B0ACB" w:rsidRPr="001B0ACB" w:rsidRDefault="001B0ACB" w:rsidP="002A7222">
            <w:pPr>
              <w:pStyle w:val="BodyTextGrey"/>
              <w:spacing w:before="0" w:after="80"/>
              <w:rPr>
                <w:lang w:eastAsia="en-GB"/>
              </w:rPr>
            </w:pPr>
            <w:r w:rsidRPr="001B0ACB">
              <w:rPr>
                <w:lang w:eastAsia="en-GB"/>
              </w:rPr>
              <w:t>£46,508.39</w:t>
            </w:r>
          </w:p>
        </w:tc>
      </w:tr>
      <w:tr w:rsidR="001B0ACB" w:rsidRPr="001B0ACB" w14:paraId="5A442647" w14:textId="77777777" w:rsidTr="002A064A">
        <w:trPr>
          <w:trHeight w:val="510"/>
        </w:trPr>
        <w:tc>
          <w:tcPr>
            <w:tcW w:w="3392" w:type="dxa"/>
            <w:shd w:val="clear" w:color="auto" w:fill="auto"/>
            <w:vAlign w:val="center"/>
            <w:hideMark/>
          </w:tcPr>
          <w:p w14:paraId="42E659DB" w14:textId="77777777" w:rsidR="001B0ACB" w:rsidRPr="001B0ACB" w:rsidRDefault="001B0ACB" w:rsidP="002A7222">
            <w:pPr>
              <w:pStyle w:val="BodyTextGrey"/>
              <w:spacing w:before="0" w:after="80"/>
              <w:rPr>
                <w:lang w:eastAsia="en-GB"/>
              </w:rPr>
            </w:pPr>
            <w:r w:rsidRPr="001B0ACB">
              <w:rPr>
                <w:lang w:eastAsia="en-GB"/>
              </w:rPr>
              <w:t>Standard annual allowance</w:t>
            </w:r>
          </w:p>
        </w:tc>
        <w:tc>
          <w:tcPr>
            <w:tcW w:w="2835" w:type="dxa"/>
            <w:shd w:val="clear" w:color="auto" w:fill="auto"/>
            <w:vAlign w:val="center"/>
            <w:hideMark/>
          </w:tcPr>
          <w:p w14:paraId="1A120918"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 </w:t>
            </w:r>
          </w:p>
        </w:tc>
        <w:tc>
          <w:tcPr>
            <w:tcW w:w="2835" w:type="dxa"/>
            <w:shd w:val="clear" w:color="auto" w:fill="auto"/>
            <w:vAlign w:val="center"/>
            <w:hideMark/>
          </w:tcPr>
          <w:p w14:paraId="40F38BBA" w14:textId="77777777" w:rsidR="001B0ACB" w:rsidRPr="005073B7" w:rsidRDefault="001B0ACB" w:rsidP="002A7222">
            <w:pPr>
              <w:pStyle w:val="BodyTextGrey"/>
              <w:spacing w:before="0" w:after="80"/>
              <w:rPr>
                <w:b/>
                <w:bCs/>
                <w:lang w:eastAsia="en-GB"/>
              </w:rPr>
            </w:pPr>
            <w:r w:rsidRPr="005073B7">
              <w:rPr>
                <w:b/>
                <w:bCs/>
                <w:lang w:eastAsia="en-GB"/>
              </w:rPr>
              <w:t>£60,000</w:t>
            </w:r>
          </w:p>
        </w:tc>
      </w:tr>
      <w:tr w:rsidR="001B0ACB" w:rsidRPr="001B0ACB" w14:paraId="1A4D0447" w14:textId="77777777" w:rsidTr="002A064A">
        <w:trPr>
          <w:trHeight w:val="737"/>
        </w:trPr>
        <w:tc>
          <w:tcPr>
            <w:tcW w:w="3392" w:type="dxa"/>
            <w:shd w:val="clear" w:color="auto" w:fill="auto"/>
            <w:vAlign w:val="center"/>
            <w:hideMark/>
          </w:tcPr>
          <w:p w14:paraId="037D451E"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 xml:space="preserve">Amount in excess of annual allowance, taxed as income  </w:t>
            </w:r>
          </w:p>
        </w:tc>
        <w:tc>
          <w:tcPr>
            <w:tcW w:w="2835" w:type="dxa"/>
            <w:shd w:val="clear" w:color="auto" w:fill="auto"/>
            <w:vAlign w:val="center"/>
            <w:hideMark/>
          </w:tcPr>
          <w:p w14:paraId="77D142C6"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 </w:t>
            </w:r>
          </w:p>
        </w:tc>
        <w:tc>
          <w:tcPr>
            <w:tcW w:w="2835" w:type="dxa"/>
            <w:shd w:val="clear" w:color="auto" w:fill="auto"/>
            <w:vAlign w:val="center"/>
            <w:hideMark/>
          </w:tcPr>
          <w:p w14:paraId="31FB8C95" w14:textId="77777777" w:rsidR="001B0ACB" w:rsidRPr="001B0ACB" w:rsidRDefault="001B0ACB" w:rsidP="002A7222">
            <w:pPr>
              <w:spacing w:before="0" w:after="80"/>
              <w:rPr>
                <w:rFonts w:ascii="Arial" w:hAnsi="Arial" w:cs="Arial"/>
                <w:color w:val="455560"/>
                <w:lang w:eastAsia="en-GB"/>
              </w:rPr>
            </w:pPr>
            <w:r w:rsidRPr="001B0ACB">
              <w:rPr>
                <w:rFonts w:ascii="Arial" w:hAnsi="Arial" w:cs="Arial"/>
                <w:color w:val="455560"/>
                <w:lang w:eastAsia="en-GB"/>
              </w:rPr>
              <w:t>£0.00</w:t>
            </w:r>
          </w:p>
        </w:tc>
      </w:tr>
    </w:tbl>
    <w:p w14:paraId="2A4CDB4B" w14:textId="77777777" w:rsidR="00C12277" w:rsidRPr="00C12277" w:rsidRDefault="00C12277" w:rsidP="00C12277">
      <w:pPr>
        <w:spacing w:before="0" w:after="160" w:line="259" w:lineRule="auto"/>
        <w:rPr>
          <w:rFonts w:ascii="Arial" w:hAnsi="Arial" w:cs="Arial"/>
          <w:iCs/>
          <w:color w:val="455560"/>
        </w:rPr>
      </w:pPr>
    </w:p>
    <w:p w14:paraId="5AE05E1A" w14:textId="77777777" w:rsidR="00C12277" w:rsidRPr="00C12277" w:rsidRDefault="00C12277" w:rsidP="00C12277">
      <w:pPr>
        <w:spacing w:before="0" w:after="160" w:line="259" w:lineRule="auto"/>
        <w:rPr>
          <w:rFonts w:ascii="Arial" w:hAnsi="Arial" w:cs="Arial"/>
          <w:iCs/>
          <w:color w:val="455560"/>
        </w:rPr>
      </w:pPr>
    </w:p>
    <w:p w14:paraId="6B283AF0" w14:textId="54D84FB3" w:rsidR="009C128C" w:rsidRPr="00C12277" w:rsidRDefault="009C128C" w:rsidP="00C12277">
      <w:pPr>
        <w:spacing w:before="0" w:after="160" w:line="259" w:lineRule="auto"/>
        <w:rPr>
          <w:rFonts w:ascii="Arial" w:hAnsi="Arial" w:cs="Arial"/>
          <w:b/>
          <w:color w:val="455560"/>
        </w:rPr>
      </w:pPr>
      <w:r w:rsidRPr="00C12277">
        <w:rPr>
          <w:rFonts w:ascii="Arial" w:hAnsi="Arial" w:cs="Arial"/>
          <w:b/>
          <w:color w:val="455560"/>
        </w:rPr>
        <w:lastRenderedPageBreak/>
        <w:t>Member on a salary of £1</w:t>
      </w:r>
      <w:r w:rsidR="00514891" w:rsidRPr="00C12277">
        <w:rPr>
          <w:rFonts w:ascii="Arial" w:hAnsi="Arial" w:cs="Arial"/>
          <w:b/>
          <w:color w:val="455560"/>
        </w:rPr>
        <w:t>5</w:t>
      </w:r>
      <w:r w:rsidRPr="00C12277">
        <w:rPr>
          <w:rFonts w:ascii="Arial" w:hAnsi="Arial" w:cs="Arial"/>
          <w:b/>
          <w:color w:val="455560"/>
        </w:rPr>
        <w:t>0,000 for the year 2022/23</w:t>
      </w:r>
    </w:p>
    <w:tbl>
      <w:tblPr>
        <w:tblW w:w="9062" w:type="dxa"/>
        <w:tblLook w:val="04A0" w:firstRow="1" w:lastRow="0" w:firstColumn="1" w:lastColumn="0" w:noHBand="0" w:noVBand="1"/>
      </w:tblPr>
      <w:tblGrid>
        <w:gridCol w:w="3392"/>
        <w:gridCol w:w="2835"/>
        <w:gridCol w:w="2835"/>
      </w:tblGrid>
      <w:tr w:rsidR="009C128C" w:rsidRPr="009C128C" w14:paraId="338D7F1A" w14:textId="77777777" w:rsidTr="002A064A">
        <w:trPr>
          <w:trHeight w:val="397"/>
        </w:trPr>
        <w:tc>
          <w:tcPr>
            <w:tcW w:w="33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FD3FA5E"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Details</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238C7C1"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6 April 2022</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7542EA0"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2023</w:t>
            </w:r>
          </w:p>
        </w:tc>
      </w:tr>
      <w:tr w:rsidR="009C128C" w:rsidRPr="009C128C" w14:paraId="4AAA55D8"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651CD27"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Pay</w:t>
            </w:r>
          </w:p>
        </w:tc>
        <w:tc>
          <w:tcPr>
            <w:tcW w:w="2835" w:type="dxa"/>
            <w:tcBorders>
              <w:top w:val="nil"/>
              <w:left w:val="nil"/>
              <w:bottom w:val="single" w:sz="8" w:space="0" w:color="auto"/>
              <w:right w:val="single" w:sz="8" w:space="0" w:color="auto"/>
            </w:tcBorders>
            <w:shd w:val="clear" w:color="auto" w:fill="auto"/>
            <w:vAlign w:val="center"/>
            <w:hideMark/>
          </w:tcPr>
          <w:p w14:paraId="1B3840AA" w14:textId="77777777" w:rsidR="009C128C" w:rsidRPr="009C128C" w:rsidRDefault="009C128C" w:rsidP="002A7222">
            <w:pPr>
              <w:pStyle w:val="BodyTextGrey"/>
              <w:spacing w:before="0" w:after="80"/>
              <w:rPr>
                <w:lang w:eastAsia="en-GB"/>
              </w:rPr>
            </w:pPr>
            <w:r w:rsidRPr="009C128C">
              <w:rPr>
                <w:lang w:eastAsia="en-GB"/>
              </w:rPr>
              <w:t>£148,000</w:t>
            </w:r>
          </w:p>
        </w:tc>
        <w:tc>
          <w:tcPr>
            <w:tcW w:w="2835" w:type="dxa"/>
            <w:tcBorders>
              <w:top w:val="nil"/>
              <w:left w:val="nil"/>
              <w:bottom w:val="single" w:sz="8" w:space="0" w:color="auto"/>
              <w:right w:val="single" w:sz="8" w:space="0" w:color="auto"/>
            </w:tcBorders>
            <w:shd w:val="clear" w:color="auto" w:fill="auto"/>
            <w:vAlign w:val="center"/>
            <w:hideMark/>
          </w:tcPr>
          <w:p w14:paraId="58157806" w14:textId="77777777" w:rsidR="009C128C" w:rsidRPr="009C128C" w:rsidRDefault="009C128C" w:rsidP="002A7222">
            <w:pPr>
              <w:pStyle w:val="BodyTextGrey"/>
              <w:spacing w:before="0" w:after="80"/>
              <w:rPr>
                <w:lang w:eastAsia="en-GB"/>
              </w:rPr>
            </w:pPr>
            <w:r w:rsidRPr="009C128C">
              <w:rPr>
                <w:lang w:eastAsia="en-GB"/>
              </w:rPr>
              <w:t>£150,000</w:t>
            </w:r>
          </w:p>
        </w:tc>
      </w:tr>
      <w:tr w:rsidR="009C128C" w:rsidRPr="009C128C" w14:paraId="59B7C827"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3AC2D3E"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Total Pension</w:t>
            </w:r>
          </w:p>
        </w:tc>
        <w:tc>
          <w:tcPr>
            <w:tcW w:w="2835" w:type="dxa"/>
            <w:tcBorders>
              <w:top w:val="nil"/>
              <w:left w:val="nil"/>
              <w:bottom w:val="single" w:sz="8" w:space="0" w:color="auto"/>
              <w:right w:val="single" w:sz="8" w:space="0" w:color="auto"/>
            </w:tcBorders>
            <w:shd w:val="clear" w:color="auto" w:fill="auto"/>
            <w:vAlign w:val="center"/>
            <w:hideMark/>
          </w:tcPr>
          <w:p w14:paraId="7F505AF8" w14:textId="77777777" w:rsidR="009C128C" w:rsidRPr="009C128C" w:rsidRDefault="009C128C" w:rsidP="002A7222">
            <w:pPr>
              <w:pStyle w:val="BodyTextGrey"/>
              <w:spacing w:before="0" w:after="80"/>
              <w:rPr>
                <w:lang w:eastAsia="en-GB"/>
              </w:rPr>
            </w:pPr>
            <w:r w:rsidRPr="009C128C">
              <w:rPr>
                <w:lang w:eastAsia="en-GB"/>
              </w:rPr>
              <w:t>£59,247.74</w:t>
            </w:r>
          </w:p>
        </w:tc>
        <w:tc>
          <w:tcPr>
            <w:tcW w:w="2835" w:type="dxa"/>
            <w:tcBorders>
              <w:top w:val="nil"/>
              <w:left w:val="nil"/>
              <w:bottom w:val="single" w:sz="8" w:space="0" w:color="auto"/>
              <w:right w:val="single" w:sz="8" w:space="0" w:color="auto"/>
            </w:tcBorders>
            <w:shd w:val="clear" w:color="auto" w:fill="auto"/>
            <w:vAlign w:val="center"/>
            <w:hideMark/>
          </w:tcPr>
          <w:p w14:paraId="48BEC5D1" w14:textId="77777777" w:rsidR="009C128C" w:rsidRPr="009C128C" w:rsidRDefault="009C128C" w:rsidP="002A7222">
            <w:pPr>
              <w:pStyle w:val="BodyTextGrey"/>
              <w:spacing w:before="0" w:after="80"/>
              <w:rPr>
                <w:lang w:eastAsia="en-GB"/>
              </w:rPr>
            </w:pPr>
            <w:r w:rsidRPr="009C128C">
              <w:rPr>
                <w:lang w:eastAsia="en-GB"/>
              </w:rPr>
              <w:t>£62,772.90</w:t>
            </w:r>
          </w:p>
        </w:tc>
      </w:tr>
      <w:tr w:rsidR="009C128C" w:rsidRPr="009C128C" w14:paraId="164B06AD"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A866937"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Automatic Lump Sum</w:t>
            </w:r>
          </w:p>
        </w:tc>
        <w:tc>
          <w:tcPr>
            <w:tcW w:w="2835" w:type="dxa"/>
            <w:tcBorders>
              <w:top w:val="nil"/>
              <w:left w:val="nil"/>
              <w:bottom w:val="single" w:sz="8" w:space="0" w:color="auto"/>
              <w:right w:val="single" w:sz="8" w:space="0" w:color="auto"/>
            </w:tcBorders>
            <w:shd w:val="clear" w:color="auto" w:fill="auto"/>
            <w:vAlign w:val="center"/>
            <w:hideMark/>
          </w:tcPr>
          <w:p w14:paraId="117F5626" w14:textId="77777777" w:rsidR="009C128C" w:rsidRPr="009C128C" w:rsidRDefault="009C128C" w:rsidP="002A7222">
            <w:pPr>
              <w:pStyle w:val="BodyTextGrey"/>
              <w:spacing w:before="0" w:after="80"/>
              <w:rPr>
                <w:lang w:eastAsia="en-GB"/>
              </w:rPr>
            </w:pPr>
            <w:r w:rsidRPr="009C128C">
              <w:rPr>
                <w:lang w:eastAsia="en-GB"/>
              </w:rPr>
              <w:t>£42,530.55</w:t>
            </w:r>
          </w:p>
        </w:tc>
        <w:tc>
          <w:tcPr>
            <w:tcW w:w="2835" w:type="dxa"/>
            <w:tcBorders>
              <w:top w:val="nil"/>
              <w:left w:val="nil"/>
              <w:bottom w:val="single" w:sz="8" w:space="0" w:color="auto"/>
              <w:right w:val="single" w:sz="8" w:space="0" w:color="auto"/>
            </w:tcBorders>
            <w:shd w:val="clear" w:color="auto" w:fill="auto"/>
            <w:vAlign w:val="center"/>
            <w:hideMark/>
          </w:tcPr>
          <w:p w14:paraId="5D18AA52" w14:textId="77777777" w:rsidR="009C128C" w:rsidRPr="009C128C" w:rsidRDefault="009C128C" w:rsidP="002A7222">
            <w:pPr>
              <w:pStyle w:val="BodyTextGrey"/>
              <w:spacing w:before="0" w:after="80"/>
              <w:rPr>
                <w:lang w:eastAsia="en-GB"/>
              </w:rPr>
            </w:pPr>
            <w:r w:rsidRPr="009C128C">
              <w:rPr>
                <w:lang w:eastAsia="en-GB"/>
              </w:rPr>
              <w:t>£43,318.15</w:t>
            </w:r>
          </w:p>
        </w:tc>
      </w:tr>
      <w:tr w:rsidR="009C128C" w:rsidRPr="009C128C" w14:paraId="7D908FDD" w14:textId="77777777" w:rsidTr="002A064A">
        <w:trPr>
          <w:trHeight w:val="624"/>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48F41E1" w14:textId="77777777" w:rsidR="00747E05" w:rsidRPr="00747E05" w:rsidRDefault="00747E05" w:rsidP="002A7222">
            <w:pPr>
              <w:spacing w:before="0" w:after="80"/>
              <w:rPr>
                <w:rFonts w:ascii="Arial" w:hAnsi="Arial" w:cs="Arial"/>
                <w:color w:val="455560"/>
                <w:lang w:eastAsia="en-GB"/>
              </w:rPr>
            </w:pPr>
            <w:r w:rsidRPr="00747E05">
              <w:rPr>
                <w:rFonts w:ascii="Arial" w:hAnsi="Arial" w:cs="Arial"/>
                <w:color w:val="455560"/>
                <w:lang w:eastAsia="en-GB"/>
              </w:rPr>
              <w:t>Final value of benefits</w:t>
            </w:r>
          </w:p>
          <w:p w14:paraId="574BCA20" w14:textId="56DF2283" w:rsidR="009C128C" w:rsidRPr="009C128C" w:rsidRDefault="00747E05" w:rsidP="002A7222">
            <w:pPr>
              <w:spacing w:before="0" w:after="80"/>
              <w:rPr>
                <w:rFonts w:ascii="Arial" w:hAnsi="Arial" w:cs="Arial"/>
                <w:color w:val="455560"/>
                <w:lang w:eastAsia="en-GB"/>
              </w:rPr>
            </w:pPr>
            <w:r w:rsidRPr="00747E05">
              <w:rPr>
                <w:rFonts w:ascii="Arial" w:hAnsi="Arial" w:cs="Arial"/>
                <w:color w:val="455560"/>
                <w:lang w:eastAsia="en-GB"/>
              </w:rPr>
              <w:t>(16*Pension + lump sum)</w:t>
            </w:r>
          </w:p>
        </w:tc>
        <w:tc>
          <w:tcPr>
            <w:tcW w:w="2835" w:type="dxa"/>
            <w:tcBorders>
              <w:top w:val="nil"/>
              <w:left w:val="single" w:sz="8" w:space="0" w:color="auto"/>
              <w:bottom w:val="single" w:sz="8" w:space="0" w:color="000000"/>
              <w:right w:val="single" w:sz="8" w:space="0" w:color="auto"/>
            </w:tcBorders>
            <w:shd w:val="clear" w:color="auto" w:fill="auto"/>
            <w:vAlign w:val="center"/>
            <w:hideMark/>
          </w:tcPr>
          <w:p w14:paraId="2BE38CC7" w14:textId="47762FA1" w:rsidR="009F6F1F" w:rsidRPr="005073B7" w:rsidRDefault="009C128C" w:rsidP="002A7222">
            <w:pPr>
              <w:pStyle w:val="BodyTextGrey"/>
              <w:spacing w:before="0" w:after="80"/>
            </w:pPr>
            <w:r w:rsidRPr="005073B7">
              <w:t>£1,006,246.51</w:t>
            </w:r>
            <w:r w:rsidR="009F6F1F" w:rsidRPr="005073B7">
              <w:t xml:space="preserve"> + 3.1%</w:t>
            </w:r>
            <w:r w:rsidR="009F6F1F">
              <w:rPr>
                <w:rStyle w:val="FootnoteReference"/>
              </w:rPr>
              <w:footnoteReference w:id="11"/>
            </w:r>
            <w:r w:rsidR="009F6F1F" w:rsidRPr="005073B7">
              <w:t xml:space="preserve"> = </w:t>
            </w:r>
          </w:p>
          <w:p w14:paraId="11961F12" w14:textId="0E84C6C1" w:rsidR="009C128C" w:rsidRPr="009C128C" w:rsidRDefault="009F6F1F" w:rsidP="002A7222">
            <w:pPr>
              <w:pStyle w:val="BodyTextGrey"/>
              <w:spacing w:before="0" w:after="80"/>
              <w:rPr>
                <w:color w:val="FF0000"/>
                <w:lang w:eastAsia="en-GB"/>
              </w:rPr>
            </w:pPr>
            <w:r w:rsidRPr="005073B7">
              <w:t>£1,037,440.15</w:t>
            </w:r>
          </w:p>
        </w:tc>
        <w:tc>
          <w:tcPr>
            <w:tcW w:w="2835" w:type="dxa"/>
            <w:tcBorders>
              <w:top w:val="nil"/>
              <w:left w:val="single" w:sz="8" w:space="0" w:color="auto"/>
              <w:bottom w:val="single" w:sz="8" w:space="0" w:color="000000"/>
              <w:right w:val="single" w:sz="8" w:space="0" w:color="auto"/>
            </w:tcBorders>
            <w:shd w:val="clear" w:color="auto" w:fill="auto"/>
            <w:vAlign w:val="center"/>
            <w:hideMark/>
          </w:tcPr>
          <w:p w14:paraId="4732A92A" w14:textId="77777777" w:rsidR="009C128C" w:rsidRPr="009C128C" w:rsidRDefault="009C128C" w:rsidP="002A7222">
            <w:pPr>
              <w:pStyle w:val="BodyTextGrey"/>
              <w:spacing w:before="0" w:after="80"/>
              <w:rPr>
                <w:lang w:eastAsia="en-GB"/>
              </w:rPr>
            </w:pPr>
            <w:r w:rsidRPr="009C128C">
              <w:rPr>
                <w:lang w:eastAsia="en-GB"/>
              </w:rPr>
              <w:t>£1,063,436.61</w:t>
            </w:r>
          </w:p>
        </w:tc>
      </w:tr>
      <w:tr w:rsidR="009C128C" w:rsidRPr="009C128C" w14:paraId="332D94BC" w14:textId="77777777" w:rsidTr="002A064A">
        <w:trPr>
          <w:trHeight w:val="624"/>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1A29A26"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Increase in value over tax year (closing value less opening value)</w:t>
            </w:r>
          </w:p>
        </w:tc>
        <w:tc>
          <w:tcPr>
            <w:tcW w:w="2835" w:type="dxa"/>
            <w:tcBorders>
              <w:top w:val="nil"/>
              <w:left w:val="nil"/>
              <w:bottom w:val="single" w:sz="8" w:space="0" w:color="auto"/>
              <w:right w:val="single" w:sz="8" w:space="0" w:color="auto"/>
            </w:tcBorders>
            <w:shd w:val="clear" w:color="auto" w:fill="auto"/>
            <w:vAlign w:val="center"/>
            <w:hideMark/>
          </w:tcPr>
          <w:p w14:paraId="160077F4"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nil"/>
              <w:left w:val="nil"/>
              <w:bottom w:val="single" w:sz="8" w:space="0" w:color="auto"/>
              <w:right w:val="single" w:sz="8" w:space="0" w:color="auto"/>
            </w:tcBorders>
            <w:shd w:val="clear" w:color="auto" w:fill="auto"/>
            <w:vAlign w:val="center"/>
            <w:hideMark/>
          </w:tcPr>
          <w:p w14:paraId="2B067E72" w14:textId="77777777" w:rsidR="009C128C" w:rsidRPr="009C128C" w:rsidRDefault="009C128C" w:rsidP="002A7222">
            <w:pPr>
              <w:pStyle w:val="BodyTextGrey"/>
              <w:spacing w:before="0" w:after="80"/>
              <w:rPr>
                <w:lang w:eastAsia="en-GB"/>
              </w:rPr>
            </w:pPr>
            <w:r w:rsidRPr="009C128C">
              <w:rPr>
                <w:lang w:eastAsia="en-GB"/>
              </w:rPr>
              <w:t>£25,996.47</w:t>
            </w:r>
          </w:p>
        </w:tc>
      </w:tr>
      <w:tr w:rsidR="009C128C" w:rsidRPr="009C128C" w14:paraId="7088317D"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6AFC869"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Standard annual allowance</w:t>
            </w:r>
          </w:p>
        </w:tc>
        <w:tc>
          <w:tcPr>
            <w:tcW w:w="2835" w:type="dxa"/>
            <w:tcBorders>
              <w:top w:val="nil"/>
              <w:left w:val="nil"/>
              <w:bottom w:val="single" w:sz="8" w:space="0" w:color="auto"/>
              <w:right w:val="single" w:sz="8" w:space="0" w:color="auto"/>
            </w:tcBorders>
            <w:shd w:val="clear" w:color="auto" w:fill="auto"/>
            <w:vAlign w:val="center"/>
            <w:hideMark/>
          </w:tcPr>
          <w:p w14:paraId="50A8555C"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nil"/>
              <w:left w:val="nil"/>
              <w:bottom w:val="single" w:sz="8" w:space="0" w:color="auto"/>
              <w:right w:val="single" w:sz="8" w:space="0" w:color="auto"/>
            </w:tcBorders>
            <w:shd w:val="clear" w:color="auto" w:fill="auto"/>
            <w:vAlign w:val="center"/>
            <w:hideMark/>
          </w:tcPr>
          <w:p w14:paraId="64DF95F1" w14:textId="77777777" w:rsidR="009C128C" w:rsidRPr="009C128C" w:rsidRDefault="009C128C" w:rsidP="002A7222">
            <w:pPr>
              <w:pStyle w:val="BodyTextGrey"/>
              <w:spacing w:before="0" w:after="80"/>
              <w:rPr>
                <w:lang w:eastAsia="en-GB"/>
              </w:rPr>
            </w:pPr>
            <w:r w:rsidRPr="009C128C">
              <w:rPr>
                <w:lang w:eastAsia="en-GB"/>
              </w:rPr>
              <w:t>£40,000</w:t>
            </w:r>
          </w:p>
        </w:tc>
      </w:tr>
      <w:tr w:rsidR="009C128C" w:rsidRPr="009C128C" w14:paraId="7A80B2D7" w14:textId="77777777" w:rsidTr="002A064A">
        <w:trPr>
          <w:trHeight w:val="624"/>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3DF7AAD"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xml:space="preserve">Amount in excess of annual allowance, </w:t>
            </w:r>
            <w:r w:rsidRPr="009C128C">
              <w:rPr>
                <w:rFonts w:ascii="Arial" w:hAnsi="Arial" w:cs="Arial"/>
                <w:b/>
                <w:bCs/>
                <w:color w:val="455560"/>
                <w:lang w:eastAsia="en-GB"/>
              </w:rPr>
              <w:t>taxed as income</w:t>
            </w:r>
            <w:r w:rsidRPr="009C128C">
              <w:rPr>
                <w:rFonts w:ascii="Arial" w:hAnsi="Arial" w:cs="Arial"/>
                <w:color w:val="455560"/>
                <w:lang w:eastAsia="en-GB"/>
              </w:rPr>
              <w:t xml:space="preserve">  </w:t>
            </w:r>
          </w:p>
        </w:tc>
        <w:tc>
          <w:tcPr>
            <w:tcW w:w="2835" w:type="dxa"/>
            <w:tcBorders>
              <w:top w:val="nil"/>
              <w:left w:val="nil"/>
              <w:bottom w:val="single" w:sz="8" w:space="0" w:color="auto"/>
              <w:right w:val="single" w:sz="8" w:space="0" w:color="auto"/>
            </w:tcBorders>
            <w:shd w:val="clear" w:color="auto" w:fill="auto"/>
            <w:vAlign w:val="center"/>
            <w:hideMark/>
          </w:tcPr>
          <w:p w14:paraId="1F7218D7"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nil"/>
              <w:left w:val="nil"/>
              <w:bottom w:val="single" w:sz="8" w:space="0" w:color="auto"/>
              <w:right w:val="single" w:sz="8" w:space="0" w:color="auto"/>
            </w:tcBorders>
            <w:shd w:val="clear" w:color="auto" w:fill="auto"/>
            <w:vAlign w:val="center"/>
            <w:hideMark/>
          </w:tcPr>
          <w:p w14:paraId="772FA959" w14:textId="77777777" w:rsidR="009C128C" w:rsidRPr="009C128C" w:rsidRDefault="009C128C" w:rsidP="002A7222">
            <w:pPr>
              <w:pStyle w:val="BodyTextGrey"/>
              <w:spacing w:before="0" w:after="80"/>
              <w:rPr>
                <w:lang w:eastAsia="en-GB"/>
              </w:rPr>
            </w:pPr>
            <w:r w:rsidRPr="009C128C">
              <w:rPr>
                <w:lang w:eastAsia="en-GB"/>
              </w:rPr>
              <w:t>£0.00</w:t>
            </w:r>
          </w:p>
        </w:tc>
      </w:tr>
      <w:tr w:rsidR="009C128C" w:rsidRPr="009C128C" w14:paraId="6D32ABD5"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659D785"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Details</w:t>
            </w:r>
          </w:p>
        </w:tc>
        <w:tc>
          <w:tcPr>
            <w:tcW w:w="2835" w:type="dxa"/>
            <w:tcBorders>
              <w:top w:val="nil"/>
              <w:left w:val="nil"/>
              <w:bottom w:val="single" w:sz="8" w:space="0" w:color="auto"/>
              <w:right w:val="single" w:sz="8" w:space="0" w:color="auto"/>
            </w:tcBorders>
            <w:shd w:val="clear" w:color="auto" w:fill="D9D9D9" w:themeFill="background1" w:themeFillShade="D9"/>
            <w:vAlign w:val="center"/>
            <w:hideMark/>
          </w:tcPr>
          <w:p w14:paraId="2FADD512"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2023</w:t>
            </w:r>
          </w:p>
        </w:tc>
        <w:tc>
          <w:tcPr>
            <w:tcW w:w="2835" w:type="dxa"/>
            <w:tcBorders>
              <w:top w:val="nil"/>
              <w:left w:val="nil"/>
              <w:bottom w:val="single" w:sz="8" w:space="0" w:color="auto"/>
              <w:right w:val="single" w:sz="8" w:space="0" w:color="auto"/>
            </w:tcBorders>
            <w:shd w:val="clear" w:color="auto" w:fill="D9D9D9" w:themeFill="background1" w:themeFillShade="D9"/>
            <w:vAlign w:val="center"/>
            <w:hideMark/>
          </w:tcPr>
          <w:p w14:paraId="3AD3DF84" w14:textId="77777777" w:rsidR="009C128C" w:rsidRPr="00A263B2" w:rsidRDefault="009C128C" w:rsidP="002A7222">
            <w:pPr>
              <w:spacing w:before="0" w:after="80"/>
              <w:rPr>
                <w:rFonts w:ascii="Arial" w:hAnsi="Arial" w:cs="Arial"/>
                <w:b/>
                <w:bCs/>
                <w:color w:val="455560"/>
                <w:lang w:eastAsia="en-GB"/>
              </w:rPr>
            </w:pPr>
            <w:r w:rsidRPr="00A263B2">
              <w:rPr>
                <w:rFonts w:ascii="Arial" w:hAnsi="Arial" w:cs="Arial"/>
                <w:b/>
                <w:bCs/>
                <w:color w:val="455560"/>
                <w:lang w:eastAsia="en-GB"/>
              </w:rPr>
              <w:t xml:space="preserve">Values </w:t>
            </w:r>
            <w:proofErr w:type="gramStart"/>
            <w:r w:rsidRPr="00A263B2">
              <w:rPr>
                <w:rFonts w:ascii="Arial" w:hAnsi="Arial" w:cs="Arial"/>
                <w:b/>
                <w:bCs/>
                <w:color w:val="455560"/>
                <w:lang w:eastAsia="en-GB"/>
              </w:rPr>
              <w:t>at</w:t>
            </w:r>
            <w:proofErr w:type="gramEnd"/>
            <w:r w:rsidRPr="00A263B2">
              <w:rPr>
                <w:rFonts w:ascii="Arial" w:hAnsi="Arial" w:cs="Arial"/>
                <w:b/>
                <w:bCs/>
                <w:color w:val="455560"/>
                <w:lang w:eastAsia="en-GB"/>
              </w:rPr>
              <w:t xml:space="preserve"> 5 April 2024</w:t>
            </w:r>
          </w:p>
        </w:tc>
      </w:tr>
      <w:tr w:rsidR="009C128C" w:rsidRPr="009C128C" w14:paraId="1CE99A1E" w14:textId="77777777" w:rsidTr="002A064A">
        <w:trPr>
          <w:trHeight w:val="397"/>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BF70543"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Pay</w:t>
            </w:r>
          </w:p>
        </w:tc>
        <w:tc>
          <w:tcPr>
            <w:tcW w:w="2835" w:type="dxa"/>
            <w:tcBorders>
              <w:top w:val="nil"/>
              <w:left w:val="nil"/>
              <w:bottom w:val="single" w:sz="4" w:space="0" w:color="auto"/>
              <w:right w:val="single" w:sz="8" w:space="0" w:color="auto"/>
            </w:tcBorders>
            <w:shd w:val="clear" w:color="auto" w:fill="auto"/>
            <w:vAlign w:val="center"/>
            <w:hideMark/>
          </w:tcPr>
          <w:p w14:paraId="5E91B0FB" w14:textId="77777777" w:rsidR="009C128C" w:rsidRPr="009C128C" w:rsidRDefault="009C128C" w:rsidP="002A7222">
            <w:pPr>
              <w:pStyle w:val="BodyTextGrey"/>
              <w:spacing w:before="0" w:after="80"/>
              <w:rPr>
                <w:lang w:eastAsia="en-GB"/>
              </w:rPr>
            </w:pPr>
            <w:r w:rsidRPr="009C128C">
              <w:rPr>
                <w:lang w:eastAsia="en-GB"/>
              </w:rPr>
              <w:t>£150,000</w:t>
            </w:r>
          </w:p>
        </w:tc>
        <w:tc>
          <w:tcPr>
            <w:tcW w:w="2835" w:type="dxa"/>
            <w:tcBorders>
              <w:top w:val="nil"/>
              <w:left w:val="nil"/>
              <w:bottom w:val="single" w:sz="4" w:space="0" w:color="auto"/>
              <w:right w:val="single" w:sz="8" w:space="0" w:color="auto"/>
            </w:tcBorders>
            <w:shd w:val="clear" w:color="auto" w:fill="auto"/>
            <w:vAlign w:val="center"/>
            <w:hideMark/>
          </w:tcPr>
          <w:p w14:paraId="163F7EA1" w14:textId="02F90BB1" w:rsidR="009C128C" w:rsidRPr="009C128C" w:rsidRDefault="009C128C" w:rsidP="002A7222">
            <w:pPr>
              <w:pStyle w:val="BodyTextGrey"/>
              <w:spacing w:before="0" w:after="80"/>
              <w:rPr>
                <w:lang w:eastAsia="en-GB"/>
              </w:rPr>
            </w:pPr>
            <w:r w:rsidRPr="009C128C">
              <w:rPr>
                <w:lang w:eastAsia="en-GB"/>
              </w:rPr>
              <w:t>£1</w:t>
            </w:r>
            <w:r w:rsidR="00BD2F60">
              <w:rPr>
                <w:lang w:eastAsia="en-GB"/>
              </w:rPr>
              <w:t>55</w:t>
            </w:r>
            <w:r w:rsidRPr="009C128C">
              <w:rPr>
                <w:lang w:eastAsia="en-GB"/>
              </w:rPr>
              <w:t>,000</w:t>
            </w:r>
          </w:p>
        </w:tc>
      </w:tr>
      <w:tr w:rsidR="009C128C" w:rsidRPr="009C128C" w14:paraId="279F1117" w14:textId="77777777" w:rsidTr="002A064A">
        <w:trPr>
          <w:trHeight w:val="397"/>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2A25"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Total Pension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9E98" w14:textId="77777777" w:rsidR="009C128C" w:rsidRPr="009C128C" w:rsidRDefault="009C128C" w:rsidP="002A7222">
            <w:pPr>
              <w:pStyle w:val="BodyTextGrey"/>
              <w:spacing w:before="0" w:after="80"/>
              <w:rPr>
                <w:lang w:eastAsia="en-GB"/>
              </w:rPr>
            </w:pPr>
            <w:r w:rsidRPr="009C128C">
              <w:rPr>
                <w:lang w:eastAsia="en-GB"/>
              </w:rPr>
              <w:t>£62,772.90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D5D4" w14:textId="77777777" w:rsidR="009C128C" w:rsidRPr="009C128C" w:rsidRDefault="009C128C" w:rsidP="002A7222">
            <w:pPr>
              <w:pStyle w:val="BodyTextGrey"/>
              <w:spacing w:before="0" w:after="80"/>
              <w:rPr>
                <w:lang w:eastAsia="en-GB"/>
              </w:rPr>
            </w:pPr>
            <w:r w:rsidRPr="009C128C">
              <w:rPr>
                <w:lang w:eastAsia="en-GB"/>
              </w:rPr>
              <w:t>£69,925.05</w:t>
            </w:r>
          </w:p>
        </w:tc>
      </w:tr>
      <w:tr w:rsidR="009C128C" w:rsidRPr="009C128C" w14:paraId="5775CC5C" w14:textId="77777777" w:rsidTr="002A064A">
        <w:trPr>
          <w:trHeight w:val="397"/>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687D"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Automatic Lump Sum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41AE" w14:textId="77777777" w:rsidR="009C128C" w:rsidRPr="009C128C" w:rsidRDefault="009C128C" w:rsidP="002A7222">
            <w:pPr>
              <w:pStyle w:val="BodyTextGrey"/>
              <w:spacing w:before="0" w:after="80"/>
              <w:rPr>
                <w:lang w:eastAsia="en-GB"/>
              </w:rPr>
            </w:pPr>
            <w:r w:rsidRPr="009C128C">
              <w:rPr>
                <w:lang w:eastAsia="en-GB"/>
              </w:rPr>
              <w:t>£59,070.21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6183" w14:textId="77777777" w:rsidR="009C128C" w:rsidRPr="009C128C" w:rsidRDefault="009C128C" w:rsidP="002A7222">
            <w:pPr>
              <w:pStyle w:val="BodyTextGrey"/>
              <w:spacing w:before="0" w:after="80"/>
              <w:rPr>
                <w:lang w:eastAsia="en-GB"/>
              </w:rPr>
            </w:pPr>
            <w:r w:rsidRPr="009C128C">
              <w:rPr>
                <w:lang w:eastAsia="en-GB"/>
              </w:rPr>
              <w:t>£61,039.21</w:t>
            </w:r>
          </w:p>
        </w:tc>
      </w:tr>
      <w:tr w:rsidR="009C128C" w:rsidRPr="009C128C" w14:paraId="5FD03ADB" w14:textId="77777777" w:rsidTr="002A064A">
        <w:trPr>
          <w:trHeight w:val="62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E916" w14:textId="77777777" w:rsidR="00803909" w:rsidRDefault="009C128C" w:rsidP="002A7222">
            <w:pPr>
              <w:spacing w:before="0" w:after="80"/>
              <w:rPr>
                <w:rFonts w:ascii="Arial" w:hAnsi="Arial" w:cs="Arial"/>
                <w:color w:val="455560"/>
                <w:lang w:eastAsia="en-GB"/>
              </w:rPr>
            </w:pPr>
            <w:r w:rsidRPr="009C128C">
              <w:rPr>
                <w:rFonts w:ascii="Arial" w:hAnsi="Arial" w:cs="Arial"/>
                <w:color w:val="455560"/>
                <w:lang w:eastAsia="en-GB"/>
              </w:rPr>
              <w:t>Final value of benefits</w:t>
            </w:r>
            <w:r w:rsidR="00803909">
              <w:rPr>
                <w:rFonts w:ascii="Arial" w:hAnsi="Arial" w:cs="Arial"/>
                <w:color w:val="455560"/>
                <w:lang w:eastAsia="en-GB"/>
              </w:rPr>
              <w:t xml:space="preserve"> </w:t>
            </w:r>
          </w:p>
          <w:p w14:paraId="5D2DC34E" w14:textId="0491E85D" w:rsidR="009C128C" w:rsidRPr="009C128C" w:rsidRDefault="00803909" w:rsidP="002A7222">
            <w:pPr>
              <w:spacing w:before="0" w:after="80"/>
              <w:rPr>
                <w:rFonts w:ascii="Arial" w:hAnsi="Arial" w:cs="Arial"/>
                <w:color w:val="455560"/>
                <w:lang w:eastAsia="en-GB"/>
              </w:rPr>
            </w:pPr>
            <w:r w:rsidRPr="009C128C">
              <w:rPr>
                <w:rFonts w:ascii="Arial" w:hAnsi="Arial" w:cs="Arial"/>
                <w:color w:val="455560"/>
                <w:lang w:eastAsia="en-GB"/>
              </w:rPr>
              <w:t>(16*Pension + lump sum)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DAF5" w14:textId="612B1AA7" w:rsidR="00096733" w:rsidRPr="005073B7" w:rsidRDefault="009C128C" w:rsidP="002A7222">
            <w:pPr>
              <w:pStyle w:val="BodyTextGrey"/>
              <w:spacing w:before="0" w:after="80"/>
            </w:pPr>
            <w:r w:rsidRPr="005073B7">
              <w:t>£1,063,436.61</w:t>
            </w:r>
            <w:r w:rsidR="0055771D" w:rsidRPr="005073B7">
              <w:t xml:space="preserve"> + 10.1%</w:t>
            </w:r>
            <w:r w:rsidR="00096733">
              <w:rPr>
                <w:rStyle w:val="FootnoteReference"/>
              </w:rPr>
              <w:footnoteReference w:id="12"/>
            </w:r>
            <w:r w:rsidR="0055771D" w:rsidRPr="005073B7">
              <w:t xml:space="preserve"> = </w:t>
            </w:r>
          </w:p>
          <w:p w14:paraId="3FAA7807" w14:textId="4E79DEC3" w:rsidR="009C128C" w:rsidRPr="00803909" w:rsidRDefault="00096733" w:rsidP="002A7222">
            <w:pPr>
              <w:pStyle w:val="BodyTextGrey"/>
              <w:spacing w:before="0" w:after="80"/>
            </w:pPr>
            <w:r w:rsidRPr="005073B7">
              <w:t>1,170,843.71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B8594" w14:textId="77777777" w:rsidR="009C128C" w:rsidRPr="009C128C" w:rsidRDefault="009C128C" w:rsidP="002A7222">
            <w:pPr>
              <w:pStyle w:val="BodyTextGrey"/>
              <w:spacing w:before="0" w:after="80"/>
              <w:rPr>
                <w:lang w:eastAsia="en-GB"/>
              </w:rPr>
            </w:pPr>
            <w:r w:rsidRPr="009C128C">
              <w:rPr>
                <w:lang w:eastAsia="en-GB"/>
              </w:rPr>
              <w:t>£1,179,840.01</w:t>
            </w:r>
          </w:p>
        </w:tc>
      </w:tr>
      <w:tr w:rsidR="009C128C" w:rsidRPr="009C128C" w14:paraId="370D3450" w14:textId="77777777" w:rsidTr="002A064A">
        <w:trPr>
          <w:trHeight w:val="62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1A25"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Increase in value over tax year (closing value less opening value)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DE3F" w14:textId="77777777" w:rsidR="009C128C" w:rsidRPr="009C128C" w:rsidRDefault="009C128C" w:rsidP="002A7222">
            <w:pPr>
              <w:pStyle w:val="BodyTextGrey"/>
              <w:spacing w:before="0" w:after="80"/>
              <w:rPr>
                <w:lang w:eastAsia="en-GB"/>
              </w:rPr>
            </w:pPr>
            <w:r w:rsidRPr="009C128C">
              <w:rPr>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0ACD" w14:textId="77777777" w:rsidR="009C128C" w:rsidRPr="009C128C" w:rsidRDefault="009C128C" w:rsidP="002A7222">
            <w:pPr>
              <w:pStyle w:val="BodyTextGrey"/>
              <w:spacing w:before="0" w:after="80"/>
              <w:rPr>
                <w:lang w:eastAsia="en-GB"/>
              </w:rPr>
            </w:pPr>
            <w:r w:rsidRPr="009C128C">
              <w:rPr>
                <w:lang w:eastAsia="en-GB"/>
              </w:rPr>
              <w:t>£8,996.30</w:t>
            </w:r>
          </w:p>
        </w:tc>
      </w:tr>
      <w:tr w:rsidR="009C128C" w:rsidRPr="009C128C" w14:paraId="14283403" w14:textId="77777777" w:rsidTr="002A064A">
        <w:trPr>
          <w:trHeight w:val="397"/>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B2BD"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Standard annual allowance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AFAF" w14:textId="77777777" w:rsidR="009C128C" w:rsidRPr="009C128C" w:rsidRDefault="009C128C" w:rsidP="002A7222">
            <w:pPr>
              <w:pStyle w:val="BodyTextGrey"/>
              <w:spacing w:before="0" w:after="80"/>
              <w:rPr>
                <w:lang w:eastAsia="en-GB"/>
              </w:rPr>
            </w:pPr>
            <w:r w:rsidRPr="009C128C">
              <w:rPr>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C12A" w14:textId="77777777" w:rsidR="009C128C" w:rsidRPr="009C128C" w:rsidRDefault="009C128C" w:rsidP="002A7222">
            <w:pPr>
              <w:pStyle w:val="BodyTextGrey"/>
              <w:spacing w:before="0" w:after="80"/>
              <w:rPr>
                <w:b/>
                <w:bCs/>
                <w:lang w:eastAsia="en-GB"/>
              </w:rPr>
            </w:pPr>
            <w:r w:rsidRPr="009C128C">
              <w:rPr>
                <w:b/>
                <w:bCs/>
                <w:lang w:eastAsia="en-GB"/>
              </w:rPr>
              <w:t>£60,000</w:t>
            </w:r>
          </w:p>
        </w:tc>
      </w:tr>
      <w:tr w:rsidR="009C128C" w:rsidRPr="009C128C" w14:paraId="114C2ABD" w14:textId="77777777" w:rsidTr="002A064A">
        <w:trPr>
          <w:trHeight w:val="62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2311"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xml:space="preserve">Amount in excess of annual allowance, </w:t>
            </w:r>
            <w:r w:rsidRPr="009C128C">
              <w:rPr>
                <w:rFonts w:ascii="Arial" w:hAnsi="Arial" w:cs="Arial"/>
                <w:b/>
                <w:bCs/>
                <w:color w:val="455560"/>
                <w:lang w:eastAsia="en-GB"/>
              </w:rPr>
              <w:t xml:space="preserve">taxed as income </w:t>
            </w:r>
            <w:r w:rsidRPr="009C128C">
              <w:rPr>
                <w:rFonts w:ascii="Arial" w:hAnsi="Arial" w:cs="Arial"/>
                <w:color w:val="455560"/>
                <w:lang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240F" w14:textId="77777777" w:rsidR="009C128C" w:rsidRPr="009C128C" w:rsidRDefault="009C128C" w:rsidP="002A7222">
            <w:pPr>
              <w:pStyle w:val="BodyTextGrey"/>
              <w:spacing w:before="0" w:after="80"/>
              <w:rPr>
                <w:lang w:eastAsia="en-GB"/>
              </w:rPr>
            </w:pPr>
            <w:r w:rsidRPr="009C128C">
              <w:rPr>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27F7" w14:textId="77777777" w:rsidR="009C128C" w:rsidRPr="009C128C" w:rsidRDefault="009C128C" w:rsidP="002A7222">
            <w:pPr>
              <w:pStyle w:val="BodyTextGrey"/>
              <w:spacing w:before="0" w:after="80"/>
              <w:rPr>
                <w:lang w:eastAsia="en-GB"/>
              </w:rPr>
            </w:pPr>
            <w:r w:rsidRPr="009C128C">
              <w:rPr>
                <w:lang w:eastAsia="en-GB"/>
              </w:rPr>
              <w:t>£0.00</w:t>
            </w:r>
          </w:p>
        </w:tc>
      </w:tr>
      <w:tr w:rsidR="009C128C" w:rsidRPr="009C128C" w14:paraId="3099AC28" w14:textId="77777777" w:rsidTr="002A064A">
        <w:trPr>
          <w:trHeight w:val="397"/>
        </w:trPr>
        <w:tc>
          <w:tcPr>
            <w:tcW w:w="339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2105FBD" w14:textId="77777777" w:rsidR="009C128C" w:rsidRPr="002A064A" w:rsidRDefault="009C128C" w:rsidP="002A7222">
            <w:pPr>
              <w:spacing w:before="0" w:after="80"/>
              <w:rPr>
                <w:rFonts w:ascii="Arial" w:hAnsi="Arial" w:cs="Arial"/>
                <w:b/>
                <w:bCs/>
                <w:color w:val="455560"/>
                <w:lang w:eastAsia="en-GB"/>
              </w:rPr>
            </w:pPr>
            <w:r w:rsidRPr="002A064A">
              <w:rPr>
                <w:rFonts w:ascii="Arial" w:hAnsi="Arial" w:cs="Arial"/>
                <w:b/>
                <w:bCs/>
                <w:color w:val="455560"/>
                <w:lang w:eastAsia="en-GB"/>
              </w:rPr>
              <w:t>Details</w:t>
            </w:r>
          </w:p>
        </w:tc>
        <w:tc>
          <w:tcPr>
            <w:tcW w:w="283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3935AFA6" w14:textId="77777777" w:rsidR="009C128C" w:rsidRPr="002A064A" w:rsidRDefault="009C128C" w:rsidP="002A7222">
            <w:pPr>
              <w:spacing w:before="0" w:after="80"/>
              <w:rPr>
                <w:rFonts w:ascii="Arial" w:hAnsi="Arial" w:cs="Arial"/>
                <w:b/>
                <w:bCs/>
                <w:color w:val="455560"/>
                <w:lang w:eastAsia="en-GB"/>
              </w:rPr>
            </w:pPr>
            <w:r w:rsidRPr="002A064A">
              <w:rPr>
                <w:rFonts w:ascii="Arial" w:hAnsi="Arial" w:cs="Arial"/>
                <w:b/>
                <w:bCs/>
                <w:color w:val="455560"/>
                <w:lang w:eastAsia="en-GB"/>
              </w:rPr>
              <w:t xml:space="preserve">Values </w:t>
            </w:r>
            <w:proofErr w:type="gramStart"/>
            <w:r w:rsidRPr="002A064A">
              <w:rPr>
                <w:rFonts w:ascii="Arial" w:hAnsi="Arial" w:cs="Arial"/>
                <w:b/>
                <w:bCs/>
                <w:color w:val="455560"/>
                <w:lang w:eastAsia="en-GB"/>
              </w:rPr>
              <w:t>at</w:t>
            </w:r>
            <w:proofErr w:type="gramEnd"/>
            <w:r w:rsidRPr="002A064A">
              <w:rPr>
                <w:rFonts w:ascii="Arial" w:hAnsi="Arial" w:cs="Arial"/>
                <w:b/>
                <w:bCs/>
                <w:color w:val="455560"/>
                <w:lang w:eastAsia="en-GB"/>
              </w:rPr>
              <w:t xml:space="preserve"> 5 April 2024</w:t>
            </w:r>
          </w:p>
        </w:tc>
        <w:tc>
          <w:tcPr>
            <w:tcW w:w="283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5BA052E9" w14:textId="77777777" w:rsidR="009C128C" w:rsidRPr="002A064A" w:rsidRDefault="009C128C" w:rsidP="002A7222">
            <w:pPr>
              <w:spacing w:before="0" w:after="80"/>
              <w:rPr>
                <w:rFonts w:ascii="Arial" w:hAnsi="Arial" w:cs="Arial"/>
                <w:b/>
                <w:bCs/>
                <w:color w:val="455560"/>
                <w:lang w:eastAsia="en-GB"/>
              </w:rPr>
            </w:pPr>
            <w:r w:rsidRPr="002A064A">
              <w:rPr>
                <w:rFonts w:ascii="Arial" w:hAnsi="Arial" w:cs="Arial"/>
                <w:b/>
                <w:bCs/>
                <w:color w:val="455560"/>
                <w:lang w:eastAsia="en-GB"/>
              </w:rPr>
              <w:t xml:space="preserve">Values </w:t>
            </w:r>
            <w:proofErr w:type="gramStart"/>
            <w:r w:rsidRPr="002A064A">
              <w:rPr>
                <w:rFonts w:ascii="Arial" w:hAnsi="Arial" w:cs="Arial"/>
                <w:b/>
                <w:bCs/>
                <w:color w:val="455560"/>
                <w:lang w:eastAsia="en-GB"/>
              </w:rPr>
              <w:t>at</w:t>
            </w:r>
            <w:proofErr w:type="gramEnd"/>
            <w:r w:rsidRPr="002A064A">
              <w:rPr>
                <w:rFonts w:ascii="Arial" w:hAnsi="Arial" w:cs="Arial"/>
                <w:b/>
                <w:bCs/>
                <w:color w:val="455560"/>
                <w:lang w:eastAsia="en-GB"/>
              </w:rPr>
              <w:t xml:space="preserve"> 5 April 2025</w:t>
            </w:r>
          </w:p>
        </w:tc>
      </w:tr>
      <w:tr w:rsidR="009C128C" w:rsidRPr="009C128C" w14:paraId="0452AC0F"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26E4982"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Pay</w:t>
            </w:r>
          </w:p>
        </w:tc>
        <w:tc>
          <w:tcPr>
            <w:tcW w:w="2835" w:type="dxa"/>
            <w:tcBorders>
              <w:top w:val="nil"/>
              <w:left w:val="nil"/>
              <w:bottom w:val="single" w:sz="8" w:space="0" w:color="auto"/>
              <w:right w:val="single" w:sz="8" w:space="0" w:color="auto"/>
            </w:tcBorders>
            <w:shd w:val="clear" w:color="auto" w:fill="auto"/>
            <w:vAlign w:val="center"/>
            <w:hideMark/>
          </w:tcPr>
          <w:p w14:paraId="2C06C4F0" w14:textId="77777777" w:rsidR="009C128C" w:rsidRPr="009C128C" w:rsidRDefault="009C128C" w:rsidP="002A7222">
            <w:pPr>
              <w:pStyle w:val="BodyTextGrey"/>
              <w:spacing w:before="0" w:after="80"/>
              <w:rPr>
                <w:lang w:eastAsia="en-GB"/>
              </w:rPr>
            </w:pPr>
            <w:r w:rsidRPr="009C128C">
              <w:rPr>
                <w:lang w:eastAsia="en-GB"/>
              </w:rPr>
              <w:t>£155,000</w:t>
            </w:r>
          </w:p>
        </w:tc>
        <w:tc>
          <w:tcPr>
            <w:tcW w:w="2835" w:type="dxa"/>
            <w:tcBorders>
              <w:top w:val="nil"/>
              <w:left w:val="nil"/>
              <w:bottom w:val="single" w:sz="8" w:space="0" w:color="auto"/>
              <w:right w:val="single" w:sz="8" w:space="0" w:color="auto"/>
            </w:tcBorders>
            <w:shd w:val="clear" w:color="auto" w:fill="auto"/>
            <w:vAlign w:val="center"/>
            <w:hideMark/>
          </w:tcPr>
          <w:p w14:paraId="1ABDF452" w14:textId="77777777" w:rsidR="009C128C" w:rsidRPr="009C128C" w:rsidRDefault="009C128C" w:rsidP="002A7222">
            <w:pPr>
              <w:pStyle w:val="BodyTextGrey"/>
              <w:spacing w:before="0" w:after="80"/>
              <w:rPr>
                <w:lang w:eastAsia="en-GB"/>
              </w:rPr>
            </w:pPr>
            <w:r w:rsidRPr="009C128C">
              <w:rPr>
                <w:lang w:eastAsia="en-GB"/>
              </w:rPr>
              <w:t>£157,000</w:t>
            </w:r>
          </w:p>
        </w:tc>
      </w:tr>
      <w:tr w:rsidR="009C128C" w:rsidRPr="009C128C" w14:paraId="4BA85838" w14:textId="77777777" w:rsidTr="002A064A">
        <w:trPr>
          <w:trHeight w:val="3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29F6CC0"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Total Pension</w:t>
            </w:r>
          </w:p>
        </w:tc>
        <w:tc>
          <w:tcPr>
            <w:tcW w:w="2835" w:type="dxa"/>
            <w:tcBorders>
              <w:top w:val="nil"/>
              <w:left w:val="nil"/>
              <w:bottom w:val="single" w:sz="8" w:space="0" w:color="auto"/>
              <w:right w:val="single" w:sz="8" w:space="0" w:color="auto"/>
            </w:tcBorders>
            <w:shd w:val="clear" w:color="auto" w:fill="auto"/>
            <w:vAlign w:val="center"/>
            <w:hideMark/>
          </w:tcPr>
          <w:p w14:paraId="691BEF85" w14:textId="77777777" w:rsidR="009C128C" w:rsidRPr="009C128C" w:rsidRDefault="009C128C" w:rsidP="002A7222">
            <w:pPr>
              <w:pStyle w:val="BodyTextGrey"/>
              <w:spacing w:before="0" w:after="80"/>
              <w:rPr>
                <w:lang w:eastAsia="en-GB"/>
              </w:rPr>
            </w:pPr>
            <w:r w:rsidRPr="009C128C">
              <w:rPr>
                <w:lang w:eastAsia="en-GB"/>
              </w:rPr>
              <w:t>£69,925.05</w:t>
            </w:r>
          </w:p>
        </w:tc>
        <w:tc>
          <w:tcPr>
            <w:tcW w:w="2835" w:type="dxa"/>
            <w:tcBorders>
              <w:top w:val="nil"/>
              <w:left w:val="nil"/>
              <w:bottom w:val="single" w:sz="8" w:space="0" w:color="auto"/>
              <w:right w:val="single" w:sz="8" w:space="0" w:color="auto"/>
            </w:tcBorders>
            <w:shd w:val="clear" w:color="auto" w:fill="auto"/>
            <w:vAlign w:val="center"/>
            <w:hideMark/>
          </w:tcPr>
          <w:p w14:paraId="6FC09F33" w14:textId="77777777" w:rsidR="009C128C" w:rsidRPr="009C128C" w:rsidRDefault="009C128C" w:rsidP="002A7222">
            <w:pPr>
              <w:pStyle w:val="BodyTextGrey"/>
              <w:spacing w:before="0" w:after="80"/>
              <w:rPr>
                <w:lang w:eastAsia="en-GB"/>
              </w:rPr>
            </w:pPr>
            <w:r w:rsidRPr="009C128C">
              <w:rPr>
                <w:lang w:eastAsia="en-GB"/>
              </w:rPr>
              <w:t>£76,144.83</w:t>
            </w:r>
          </w:p>
        </w:tc>
      </w:tr>
      <w:tr w:rsidR="009C128C" w:rsidRPr="009C128C" w14:paraId="275F160F" w14:textId="77777777" w:rsidTr="002A064A">
        <w:trPr>
          <w:trHeight w:val="397"/>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144D3D61"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Automatic Lump Sum</w:t>
            </w:r>
          </w:p>
        </w:tc>
        <w:tc>
          <w:tcPr>
            <w:tcW w:w="2835" w:type="dxa"/>
            <w:tcBorders>
              <w:top w:val="nil"/>
              <w:left w:val="nil"/>
              <w:bottom w:val="single" w:sz="4" w:space="0" w:color="auto"/>
              <w:right w:val="single" w:sz="8" w:space="0" w:color="auto"/>
            </w:tcBorders>
            <w:shd w:val="clear" w:color="auto" w:fill="auto"/>
            <w:vAlign w:val="center"/>
            <w:hideMark/>
          </w:tcPr>
          <w:p w14:paraId="72386E54" w14:textId="77777777" w:rsidR="009C128C" w:rsidRPr="009C128C" w:rsidRDefault="009C128C" w:rsidP="002A7222">
            <w:pPr>
              <w:pStyle w:val="BodyTextGrey"/>
              <w:spacing w:before="0" w:after="80"/>
              <w:rPr>
                <w:lang w:eastAsia="en-GB"/>
              </w:rPr>
            </w:pPr>
            <w:r w:rsidRPr="009C128C">
              <w:rPr>
                <w:lang w:eastAsia="en-GB"/>
              </w:rPr>
              <w:t>£61,039.21</w:t>
            </w:r>
          </w:p>
        </w:tc>
        <w:tc>
          <w:tcPr>
            <w:tcW w:w="2835" w:type="dxa"/>
            <w:tcBorders>
              <w:top w:val="nil"/>
              <w:left w:val="nil"/>
              <w:bottom w:val="single" w:sz="4" w:space="0" w:color="auto"/>
              <w:right w:val="single" w:sz="8" w:space="0" w:color="auto"/>
            </w:tcBorders>
            <w:shd w:val="clear" w:color="auto" w:fill="auto"/>
            <w:vAlign w:val="center"/>
            <w:hideMark/>
          </w:tcPr>
          <w:p w14:paraId="79ED8047" w14:textId="77777777" w:rsidR="009C128C" w:rsidRPr="009C128C" w:rsidRDefault="009C128C" w:rsidP="002A7222">
            <w:pPr>
              <w:pStyle w:val="BodyTextGrey"/>
              <w:spacing w:before="0" w:after="80"/>
              <w:rPr>
                <w:lang w:eastAsia="en-GB"/>
              </w:rPr>
            </w:pPr>
            <w:r w:rsidRPr="009C128C">
              <w:rPr>
                <w:lang w:eastAsia="en-GB"/>
              </w:rPr>
              <w:t>£61,826.82</w:t>
            </w:r>
          </w:p>
        </w:tc>
      </w:tr>
      <w:tr w:rsidR="009C128C" w:rsidRPr="009C128C" w14:paraId="264C2074" w14:textId="77777777" w:rsidTr="002A064A">
        <w:trPr>
          <w:trHeight w:val="62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740A" w14:textId="77777777" w:rsidR="00803909" w:rsidRDefault="009C128C" w:rsidP="002A7222">
            <w:pPr>
              <w:spacing w:before="0" w:after="80"/>
              <w:rPr>
                <w:rFonts w:ascii="Arial" w:hAnsi="Arial" w:cs="Arial"/>
                <w:color w:val="455560"/>
                <w:lang w:eastAsia="en-GB"/>
              </w:rPr>
            </w:pPr>
            <w:r w:rsidRPr="009C128C">
              <w:rPr>
                <w:rFonts w:ascii="Arial" w:hAnsi="Arial" w:cs="Arial"/>
                <w:color w:val="455560"/>
                <w:lang w:eastAsia="en-GB"/>
              </w:rPr>
              <w:t xml:space="preserve">Final value of benefits </w:t>
            </w:r>
          </w:p>
          <w:p w14:paraId="05DE1771" w14:textId="7D20A55A"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(16*Pension + lump sum)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17FB0" w14:textId="1C3A1571" w:rsidR="00252273" w:rsidRPr="005073B7" w:rsidRDefault="009C128C" w:rsidP="002A7222">
            <w:pPr>
              <w:pStyle w:val="BodyTextGrey"/>
              <w:spacing w:before="0" w:after="80"/>
            </w:pPr>
            <w:r w:rsidRPr="005073B7">
              <w:t>£1,179,840.01</w:t>
            </w:r>
            <w:r w:rsidR="00096733" w:rsidRPr="005073B7">
              <w:t xml:space="preserve"> + 7.5%</w:t>
            </w:r>
            <w:r w:rsidR="00252273">
              <w:rPr>
                <w:rStyle w:val="FootnoteReference"/>
              </w:rPr>
              <w:footnoteReference w:id="13"/>
            </w:r>
            <w:r w:rsidR="00096733" w:rsidRPr="005073B7">
              <w:t xml:space="preserve"> = </w:t>
            </w:r>
          </w:p>
          <w:p w14:paraId="3436034C" w14:textId="569497B2" w:rsidR="009C128C" w:rsidRPr="009C128C" w:rsidRDefault="00252273" w:rsidP="002A7222">
            <w:pPr>
              <w:pStyle w:val="BodyTextGrey"/>
              <w:spacing w:before="0" w:after="80"/>
              <w:rPr>
                <w:lang w:eastAsia="en-GB"/>
              </w:rPr>
            </w:pPr>
            <w:r w:rsidRPr="005073B7">
              <w:t>£1,268,328.01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94BC2" w14:textId="77777777" w:rsidR="009C128C" w:rsidRPr="009C128C" w:rsidRDefault="009C128C" w:rsidP="002A7222">
            <w:pPr>
              <w:pStyle w:val="BodyTextGrey"/>
              <w:spacing w:before="0" w:after="80"/>
              <w:rPr>
                <w:lang w:eastAsia="en-GB"/>
              </w:rPr>
            </w:pPr>
            <w:r w:rsidRPr="009C128C">
              <w:rPr>
                <w:lang w:eastAsia="en-GB"/>
              </w:rPr>
              <w:t>£1,280,144.12</w:t>
            </w:r>
          </w:p>
        </w:tc>
      </w:tr>
      <w:tr w:rsidR="009C128C" w:rsidRPr="009C128C" w14:paraId="484F9B92" w14:textId="77777777" w:rsidTr="002A064A">
        <w:trPr>
          <w:trHeight w:val="62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1A58F"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Increase in value over tax year (closing value less opening value)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3CD6"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A813" w14:textId="77777777" w:rsidR="009C128C" w:rsidRPr="009C128C" w:rsidRDefault="009C128C" w:rsidP="002A7222">
            <w:pPr>
              <w:pStyle w:val="BodyTextGrey"/>
              <w:spacing w:before="0" w:after="80"/>
              <w:rPr>
                <w:lang w:eastAsia="en-GB"/>
              </w:rPr>
            </w:pPr>
            <w:r w:rsidRPr="009C128C">
              <w:rPr>
                <w:lang w:eastAsia="en-GB"/>
              </w:rPr>
              <w:t>£11,816.11</w:t>
            </w:r>
          </w:p>
        </w:tc>
      </w:tr>
      <w:tr w:rsidR="009C128C" w:rsidRPr="009C128C" w14:paraId="7EF03C4F" w14:textId="77777777" w:rsidTr="002A064A">
        <w:trPr>
          <w:trHeight w:val="397"/>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110127F"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Standard annual allowance</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50A25F89"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0037FCF7" w14:textId="77777777" w:rsidR="009C128C" w:rsidRPr="009C128C" w:rsidRDefault="009C128C" w:rsidP="002A7222">
            <w:pPr>
              <w:pStyle w:val="BodyTextGrey"/>
              <w:spacing w:before="0" w:after="80"/>
              <w:rPr>
                <w:b/>
                <w:bCs/>
                <w:lang w:eastAsia="en-GB"/>
              </w:rPr>
            </w:pPr>
            <w:r w:rsidRPr="009C128C">
              <w:rPr>
                <w:b/>
                <w:bCs/>
                <w:lang w:eastAsia="en-GB"/>
              </w:rPr>
              <w:t>£60,000</w:t>
            </w:r>
          </w:p>
        </w:tc>
      </w:tr>
      <w:tr w:rsidR="009C128C" w:rsidRPr="009C128C" w14:paraId="39A78507" w14:textId="77777777" w:rsidTr="002A064A">
        <w:trPr>
          <w:trHeight w:val="624"/>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146A5D3"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xml:space="preserve">Amount in excess of annual allowance, taxed as income  </w:t>
            </w:r>
          </w:p>
        </w:tc>
        <w:tc>
          <w:tcPr>
            <w:tcW w:w="2835" w:type="dxa"/>
            <w:tcBorders>
              <w:top w:val="nil"/>
              <w:left w:val="nil"/>
              <w:bottom w:val="single" w:sz="8" w:space="0" w:color="auto"/>
              <w:right w:val="single" w:sz="8" w:space="0" w:color="auto"/>
            </w:tcBorders>
            <w:shd w:val="clear" w:color="auto" w:fill="auto"/>
            <w:vAlign w:val="center"/>
            <w:hideMark/>
          </w:tcPr>
          <w:p w14:paraId="6E5472EE" w14:textId="77777777" w:rsidR="009C128C" w:rsidRPr="009C128C" w:rsidRDefault="009C128C" w:rsidP="002A7222">
            <w:pPr>
              <w:spacing w:before="0" w:after="80"/>
              <w:rPr>
                <w:rFonts w:ascii="Arial" w:hAnsi="Arial" w:cs="Arial"/>
                <w:color w:val="455560"/>
                <w:lang w:eastAsia="en-GB"/>
              </w:rPr>
            </w:pPr>
            <w:r w:rsidRPr="009C128C">
              <w:rPr>
                <w:rFonts w:ascii="Arial" w:hAnsi="Arial" w:cs="Arial"/>
                <w:color w:val="455560"/>
                <w:lang w:eastAsia="en-GB"/>
              </w:rPr>
              <w:t> </w:t>
            </w:r>
          </w:p>
        </w:tc>
        <w:tc>
          <w:tcPr>
            <w:tcW w:w="2835" w:type="dxa"/>
            <w:tcBorders>
              <w:top w:val="nil"/>
              <w:left w:val="nil"/>
              <w:bottom w:val="single" w:sz="8" w:space="0" w:color="auto"/>
              <w:right w:val="single" w:sz="8" w:space="0" w:color="auto"/>
            </w:tcBorders>
            <w:shd w:val="clear" w:color="auto" w:fill="auto"/>
            <w:vAlign w:val="center"/>
            <w:hideMark/>
          </w:tcPr>
          <w:p w14:paraId="38CA0827" w14:textId="77777777" w:rsidR="009C128C" w:rsidRPr="009C128C" w:rsidRDefault="009C128C" w:rsidP="002A7222">
            <w:pPr>
              <w:pStyle w:val="BodyTextGrey"/>
              <w:spacing w:before="0" w:after="80"/>
              <w:rPr>
                <w:lang w:eastAsia="en-GB"/>
              </w:rPr>
            </w:pPr>
            <w:r w:rsidRPr="009C128C">
              <w:rPr>
                <w:lang w:eastAsia="en-GB"/>
              </w:rPr>
              <w:t>£0.00</w:t>
            </w:r>
          </w:p>
        </w:tc>
      </w:tr>
    </w:tbl>
    <w:p w14:paraId="2E65840C" w14:textId="77D64C13" w:rsidR="00C616D9" w:rsidRDefault="00C616D9" w:rsidP="009D725A">
      <w:pPr>
        <w:pStyle w:val="BodyTextGrey"/>
      </w:pPr>
    </w:p>
    <w:p w14:paraId="5B912EC1" w14:textId="77777777" w:rsidR="00C12277" w:rsidRDefault="00C12277" w:rsidP="009D725A">
      <w:pPr>
        <w:pStyle w:val="BodyTextGrey"/>
      </w:pPr>
    </w:p>
    <w:p w14:paraId="1048B80B" w14:textId="77777777" w:rsidR="00C12277" w:rsidRDefault="00C12277" w:rsidP="009D725A">
      <w:pPr>
        <w:pStyle w:val="BodyTextGrey"/>
      </w:pPr>
    </w:p>
    <w:p w14:paraId="4A7D5F6F" w14:textId="6E32A1E3" w:rsidR="00100B76" w:rsidRPr="00C12277" w:rsidRDefault="004D2326" w:rsidP="00C12277">
      <w:pPr>
        <w:spacing w:before="0" w:after="160" w:line="259" w:lineRule="auto"/>
        <w:rPr>
          <w:rFonts w:ascii="Arial" w:hAnsi="Arial" w:cs="Arial"/>
          <w:b/>
          <w:color w:val="455560"/>
        </w:rPr>
      </w:pPr>
      <w:proofErr w:type="spellStart"/>
      <w:r w:rsidRPr="00C12277">
        <w:rPr>
          <w:rFonts w:ascii="Arial" w:hAnsi="Arial" w:cs="Arial"/>
          <w:b/>
          <w:color w:val="455560"/>
        </w:rPr>
        <w:t>Reliances</w:t>
      </w:r>
      <w:proofErr w:type="spellEnd"/>
      <w:r w:rsidRPr="00C12277">
        <w:rPr>
          <w:rFonts w:ascii="Arial" w:hAnsi="Arial" w:cs="Arial"/>
          <w:b/>
          <w:color w:val="455560"/>
        </w:rPr>
        <w:t xml:space="preserve"> and limitations </w:t>
      </w:r>
    </w:p>
    <w:p w14:paraId="27797681" w14:textId="1A8D172C" w:rsidR="004D2326" w:rsidRPr="004D2326" w:rsidRDefault="004D2326" w:rsidP="004D2326">
      <w:pPr>
        <w:pStyle w:val="BodyTextGrey"/>
      </w:pPr>
      <w:r>
        <w:t xml:space="preserve">This information contained in this guide is a </w:t>
      </w:r>
      <w:r w:rsidR="00C65836">
        <w:t>high-level</w:t>
      </w:r>
      <w:r>
        <w:t xml:space="preserve"> summary of the current annual and lifetime allowances position.  It is not intended to be comprehensive and does not cover every individual situation.  As such it should not be relied upon when making financial decisions. Nothing contained here should be construed as financial advice. </w:t>
      </w:r>
    </w:p>
    <w:sectPr w:rsidR="004D2326" w:rsidRPr="004D2326" w:rsidSect="00C12277">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7A3F" w14:textId="77777777" w:rsidR="0025518C" w:rsidRDefault="0025518C" w:rsidP="00006C0A">
      <w:pPr>
        <w:spacing w:before="0" w:after="0"/>
      </w:pPr>
      <w:r>
        <w:separator/>
      </w:r>
    </w:p>
  </w:endnote>
  <w:endnote w:type="continuationSeparator" w:id="0">
    <w:p w14:paraId="5AEA4563" w14:textId="77777777" w:rsidR="0025518C" w:rsidRDefault="0025518C" w:rsidP="00006C0A">
      <w:pPr>
        <w:spacing w:before="0" w:after="0"/>
      </w:pPr>
      <w:r>
        <w:continuationSeparator/>
      </w:r>
    </w:p>
  </w:endnote>
  <w:endnote w:type="continuationNotice" w:id="1">
    <w:p w14:paraId="666DDE75" w14:textId="77777777" w:rsidR="0025518C" w:rsidRDefault="002551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C8F7" w14:textId="77777777" w:rsidR="0025518C" w:rsidRDefault="0025518C" w:rsidP="00006C0A">
      <w:pPr>
        <w:spacing w:before="0" w:after="0"/>
      </w:pPr>
      <w:r>
        <w:separator/>
      </w:r>
    </w:p>
  </w:footnote>
  <w:footnote w:type="continuationSeparator" w:id="0">
    <w:p w14:paraId="018DE07B" w14:textId="77777777" w:rsidR="0025518C" w:rsidRDefault="0025518C" w:rsidP="00006C0A">
      <w:pPr>
        <w:spacing w:before="0" w:after="0"/>
      </w:pPr>
      <w:r>
        <w:continuationSeparator/>
      </w:r>
    </w:p>
  </w:footnote>
  <w:footnote w:type="continuationNotice" w:id="1">
    <w:p w14:paraId="2CF39C65" w14:textId="77777777" w:rsidR="0025518C" w:rsidRDefault="0025518C">
      <w:pPr>
        <w:spacing w:before="0" w:after="0"/>
      </w:pPr>
    </w:p>
  </w:footnote>
  <w:footnote w:id="2">
    <w:p w14:paraId="438E9535" w14:textId="36CE3020" w:rsidR="00333071" w:rsidRDefault="00333071" w:rsidP="007E40F4">
      <w:pPr>
        <w:pStyle w:val="BodyTextGrey"/>
      </w:pPr>
      <w:r>
        <w:rPr>
          <w:rStyle w:val="FootnoteReference"/>
        </w:rPr>
        <w:footnoteRef/>
      </w:r>
      <w:r>
        <w:t xml:space="preserve"> </w:t>
      </w:r>
      <w:r w:rsidR="007E40F4" w:rsidRPr="00373215">
        <w:rPr>
          <w:sz w:val="16"/>
          <w:szCs w:val="16"/>
        </w:rPr>
        <w:t>Assumes that the member has the full LTA available. Note that members whose benefits are below the level of the LTA have a different, lower maximum tax free lump sum available to them</w:t>
      </w:r>
    </w:p>
  </w:footnote>
  <w:footnote w:id="3">
    <w:p w14:paraId="74E64611" w14:textId="7B79E7EC" w:rsidR="007E40F4" w:rsidRPr="00373215" w:rsidRDefault="007E40F4" w:rsidP="00373215">
      <w:pPr>
        <w:pStyle w:val="BodyTextGrey"/>
        <w:rPr>
          <w:sz w:val="16"/>
          <w:szCs w:val="16"/>
        </w:rPr>
      </w:pPr>
      <w:r>
        <w:rPr>
          <w:rStyle w:val="FootnoteReference"/>
        </w:rPr>
        <w:footnoteRef/>
      </w:r>
      <w:r>
        <w:t xml:space="preserve"> </w:t>
      </w:r>
      <w:r w:rsidR="00373215" w:rsidRPr="00373215">
        <w:rPr>
          <w:sz w:val="16"/>
          <w:szCs w:val="16"/>
        </w:rPr>
        <w:t xml:space="preserve">Example uses rounding down, so is slightly below 25% of the </w:t>
      </w:r>
      <w:r w:rsidR="00373215" w:rsidRPr="00373215">
        <w:rPr>
          <w:sz w:val="16"/>
          <w:szCs w:val="16"/>
        </w:rPr>
        <w:t>LTA</w:t>
      </w:r>
    </w:p>
  </w:footnote>
  <w:footnote w:id="4">
    <w:p w14:paraId="0DD28C43" w14:textId="77777777" w:rsidR="005073B7" w:rsidRPr="00E14300" w:rsidRDefault="005073B7" w:rsidP="004D3839">
      <w:pPr>
        <w:pStyle w:val="BodyTextGrey"/>
        <w:spacing w:before="0" w:after="0"/>
        <w:rPr>
          <w:sz w:val="16"/>
          <w:szCs w:val="16"/>
        </w:rPr>
      </w:pPr>
      <w:r w:rsidRPr="00E14300">
        <w:rPr>
          <w:rStyle w:val="FootnoteReference"/>
          <w:sz w:val="16"/>
          <w:szCs w:val="16"/>
        </w:rPr>
        <w:footnoteRef/>
      </w:r>
      <w:r w:rsidRPr="00E14300">
        <w:rPr>
          <w:sz w:val="16"/>
          <w:szCs w:val="16"/>
        </w:rPr>
        <w:t xml:space="preserve"> Examples are based on the new annual allowance limits and with salary increase assumptions added. It is for </w:t>
      </w:r>
      <w:r w:rsidRPr="00E14300">
        <w:rPr>
          <w:sz w:val="16"/>
          <w:szCs w:val="16"/>
        </w:rPr>
        <w:t>each individual to assess their tax position and include any relevant additional financial information to their assessment.</w:t>
      </w:r>
    </w:p>
  </w:footnote>
  <w:footnote w:id="5">
    <w:p w14:paraId="615BA19B" w14:textId="77777777" w:rsidR="005073B7" w:rsidRPr="00E14300" w:rsidRDefault="005073B7" w:rsidP="004D3839">
      <w:pPr>
        <w:pStyle w:val="BodyTextGrey"/>
        <w:spacing w:before="0" w:after="0"/>
        <w:rPr>
          <w:sz w:val="16"/>
          <w:szCs w:val="16"/>
        </w:rPr>
      </w:pPr>
      <w:r w:rsidRPr="00E14300">
        <w:rPr>
          <w:rStyle w:val="FootnoteReference"/>
          <w:sz w:val="16"/>
          <w:szCs w:val="16"/>
        </w:rPr>
        <w:footnoteRef/>
      </w:r>
      <w:r w:rsidRPr="00E14300">
        <w:rPr>
          <w:sz w:val="16"/>
          <w:szCs w:val="16"/>
        </w:rPr>
        <w:t xml:space="preserve"> Inflationary uplift based on previous September CPI</w:t>
      </w:r>
    </w:p>
  </w:footnote>
  <w:footnote w:id="6">
    <w:p w14:paraId="1353AB27" w14:textId="77777777" w:rsidR="005073B7" w:rsidRDefault="005073B7" w:rsidP="004D3839">
      <w:pPr>
        <w:pStyle w:val="BodyTextGrey"/>
        <w:spacing w:before="0" w:after="0"/>
      </w:pPr>
      <w:r w:rsidRPr="00E14300">
        <w:rPr>
          <w:rStyle w:val="FootnoteReference"/>
          <w:sz w:val="16"/>
          <w:szCs w:val="16"/>
        </w:rPr>
        <w:footnoteRef/>
      </w:r>
      <w:r w:rsidRPr="00E14300">
        <w:rPr>
          <w:sz w:val="16"/>
          <w:szCs w:val="16"/>
        </w:rPr>
        <w:t xml:space="preserve"> Inflationary uplift based on previous September CPI</w:t>
      </w:r>
    </w:p>
  </w:footnote>
  <w:footnote w:id="7">
    <w:p w14:paraId="50B06CB8" w14:textId="0C996ECC" w:rsidR="00BC1F2B" w:rsidRPr="00E14300" w:rsidRDefault="00BC1F2B" w:rsidP="00E14300">
      <w:pPr>
        <w:pStyle w:val="BodyTextGrey"/>
        <w:spacing w:after="0"/>
        <w:rPr>
          <w:sz w:val="16"/>
          <w:szCs w:val="16"/>
        </w:rPr>
      </w:pPr>
      <w:r w:rsidRPr="00E14300">
        <w:rPr>
          <w:rStyle w:val="FootnoteReference"/>
          <w:sz w:val="16"/>
          <w:szCs w:val="16"/>
        </w:rPr>
        <w:footnoteRef/>
      </w:r>
      <w:r w:rsidRPr="00E14300">
        <w:rPr>
          <w:sz w:val="16"/>
          <w:szCs w:val="16"/>
        </w:rPr>
        <w:t xml:space="preserve"> Assumed CPI </w:t>
      </w:r>
      <w:r w:rsidRPr="00E14300">
        <w:rPr>
          <w:sz w:val="16"/>
          <w:szCs w:val="16"/>
        </w:rPr>
        <w:t>increase</w:t>
      </w:r>
    </w:p>
  </w:footnote>
  <w:footnote w:id="8">
    <w:p w14:paraId="086F6F6C" w14:textId="69A27561" w:rsidR="00B363C6" w:rsidRPr="00E14300" w:rsidRDefault="00B363C6" w:rsidP="00C12277">
      <w:pPr>
        <w:pStyle w:val="BodyTextGrey"/>
        <w:spacing w:before="0" w:after="0"/>
        <w:rPr>
          <w:sz w:val="16"/>
          <w:szCs w:val="16"/>
        </w:rPr>
      </w:pPr>
      <w:r w:rsidRPr="00E14300">
        <w:rPr>
          <w:rStyle w:val="FootnoteReference"/>
          <w:sz w:val="16"/>
          <w:szCs w:val="16"/>
        </w:rPr>
        <w:footnoteRef/>
      </w:r>
      <w:r w:rsidRPr="00E14300">
        <w:rPr>
          <w:sz w:val="16"/>
          <w:szCs w:val="16"/>
        </w:rPr>
        <w:t xml:space="preserve"> Inflationary uplift based on previous September CPI</w:t>
      </w:r>
    </w:p>
  </w:footnote>
  <w:footnote w:id="9">
    <w:p w14:paraId="328B90FF" w14:textId="3853E463" w:rsidR="004F04EE" w:rsidRPr="00E14300" w:rsidRDefault="004F04EE" w:rsidP="00C12277">
      <w:pPr>
        <w:pStyle w:val="BodyTextGrey"/>
        <w:spacing w:before="0" w:after="0"/>
        <w:rPr>
          <w:sz w:val="16"/>
          <w:szCs w:val="16"/>
        </w:rPr>
      </w:pPr>
      <w:r w:rsidRPr="00E14300">
        <w:rPr>
          <w:rStyle w:val="FootnoteReference"/>
          <w:sz w:val="16"/>
          <w:szCs w:val="16"/>
        </w:rPr>
        <w:footnoteRef/>
      </w:r>
      <w:r w:rsidRPr="00E14300">
        <w:rPr>
          <w:sz w:val="16"/>
          <w:szCs w:val="16"/>
        </w:rPr>
        <w:t xml:space="preserve"> Inflationary uplift based on previous September CPI</w:t>
      </w:r>
    </w:p>
  </w:footnote>
  <w:footnote w:id="10">
    <w:p w14:paraId="42302BC0" w14:textId="37C6F811" w:rsidR="00C725DE" w:rsidRDefault="00C725DE" w:rsidP="00C12277">
      <w:pPr>
        <w:pStyle w:val="BodyTextGrey"/>
        <w:spacing w:before="0" w:after="0"/>
      </w:pPr>
      <w:r w:rsidRPr="00E14300">
        <w:rPr>
          <w:rStyle w:val="FootnoteReference"/>
          <w:sz w:val="16"/>
          <w:szCs w:val="16"/>
        </w:rPr>
        <w:footnoteRef/>
      </w:r>
      <w:r w:rsidRPr="00E14300">
        <w:rPr>
          <w:sz w:val="16"/>
          <w:szCs w:val="16"/>
        </w:rPr>
        <w:t xml:space="preserve"> Assumed inflationary </w:t>
      </w:r>
      <w:r w:rsidRPr="00E14300">
        <w:rPr>
          <w:sz w:val="16"/>
          <w:szCs w:val="16"/>
        </w:rPr>
        <w:t>uplift</w:t>
      </w:r>
    </w:p>
  </w:footnote>
  <w:footnote w:id="11">
    <w:p w14:paraId="1C0E198B" w14:textId="5CC3280C" w:rsidR="009F6F1F" w:rsidRPr="00E14300" w:rsidRDefault="009F6F1F" w:rsidP="00C12277">
      <w:pPr>
        <w:pStyle w:val="BodyTextGrey"/>
        <w:spacing w:before="0" w:after="0"/>
        <w:rPr>
          <w:sz w:val="16"/>
          <w:szCs w:val="16"/>
        </w:rPr>
      </w:pPr>
      <w:r w:rsidRPr="00E14300">
        <w:rPr>
          <w:rStyle w:val="FootnoteReference"/>
          <w:sz w:val="16"/>
          <w:szCs w:val="16"/>
        </w:rPr>
        <w:footnoteRef/>
      </w:r>
      <w:r w:rsidRPr="00E14300">
        <w:rPr>
          <w:sz w:val="16"/>
          <w:szCs w:val="16"/>
        </w:rPr>
        <w:t xml:space="preserve"> Inflationary uplift based on previous September CPI</w:t>
      </w:r>
    </w:p>
  </w:footnote>
  <w:footnote w:id="12">
    <w:p w14:paraId="4DAA6324" w14:textId="747139C1" w:rsidR="00096733" w:rsidRPr="00E14300" w:rsidRDefault="00096733" w:rsidP="00C12277">
      <w:pPr>
        <w:pStyle w:val="BodyTextGrey"/>
        <w:spacing w:before="0" w:after="0"/>
        <w:rPr>
          <w:sz w:val="16"/>
          <w:szCs w:val="16"/>
        </w:rPr>
      </w:pPr>
      <w:r w:rsidRPr="00E14300">
        <w:rPr>
          <w:rStyle w:val="FootnoteReference"/>
          <w:sz w:val="16"/>
          <w:szCs w:val="16"/>
        </w:rPr>
        <w:footnoteRef/>
      </w:r>
      <w:r w:rsidRPr="00E14300">
        <w:rPr>
          <w:sz w:val="16"/>
          <w:szCs w:val="16"/>
        </w:rPr>
        <w:t xml:space="preserve"> Inflationary uplift based on previous September CPI</w:t>
      </w:r>
    </w:p>
  </w:footnote>
  <w:footnote w:id="13">
    <w:p w14:paraId="7B5545C5" w14:textId="6C182646" w:rsidR="00252273" w:rsidRDefault="00252273" w:rsidP="00C12277">
      <w:pPr>
        <w:pStyle w:val="BodyTextGrey"/>
        <w:spacing w:before="0" w:after="0"/>
      </w:pPr>
      <w:r w:rsidRPr="00E14300">
        <w:rPr>
          <w:rStyle w:val="FootnoteReference"/>
          <w:sz w:val="16"/>
          <w:szCs w:val="16"/>
        </w:rPr>
        <w:footnoteRef/>
      </w:r>
      <w:r w:rsidRPr="00E14300">
        <w:rPr>
          <w:sz w:val="16"/>
          <w:szCs w:val="16"/>
        </w:rPr>
        <w:t xml:space="preserve"> Assumed inflationary </w:t>
      </w:r>
      <w:r w:rsidRPr="00E14300">
        <w:rPr>
          <w:sz w:val="16"/>
          <w:szCs w:val="16"/>
        </w:rPr>
        <w:t>uplift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5B8"/>
    <w:multiLevelType w:val="multilevel"/>
    <w:tmpl w:val="169CDCE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13A78D4"/>
    <w:multiLevelType w:val="multilevel"/>
    <w:tmpl w:val="4036DC5E"/>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4A78EA"/>
    <w:multiLevelType w:val="hybridMultilevel"/>
    <w:tmpl w:val="07D8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F41E6"/>
    <w:multiLevelType w:val="multilevel"/>
    <w:tmpl w:val="3F0872AA"/>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AE00F0"/>
    <w:multiLevelType w:val="hybridMultilevel"/>
    <w:tmpl w:val="2FE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721551">
    <w:abstractNumId w:val="0"/>
  </w:num>
  <w:num w:numId="2" w16cid:durableId="1125392268">
    <w:abstractNumId w:val="0"/>
  </w:num>
  <w:num w:numId="3" w16cid:durableId="2024434758">
    <w:abstractNumId w:val="0"/>
  </w:num>
  <w:num w:numId="4" w16cid:durableId="1991054351">
    <w:abstractNumId w:val="3"/>
  </w:num>
  <w:num w:numId="5" w16cid:durableId="944969612">
    <w:abstractNumId w:val="1"/>
  </w:num>
  <w:num w:numId="6" w16cid:durableId="2024815434">
    <w:abstractNumId w:val="0"/>
  </w:num>
  <w:num w:numId="7" w16cid:durableId="934098812">
    <w:abstractNumId w:val="0"/>
  </w:num>
  <w:num w:numId="8" w16cid:durableId="1046221231">
    <w:abstractNumId w:val="0"/>
  </w:num>
  <w:num w:numId="9" w16cid:durableId="487870923">
    <w:abstractNumId w:val="3"/>
  </w:num>
  <w:num w:numId="10" w16cid:durableId="262957880">
    <w:abstractNumId w:val="1"/>
  </w:num>
  <w:num w:numId="11" w16cid:durableId="275065552">
    <w:abstractNumId w:val="2"/>
  </w:num>
  <w:num w:numId="12" w16cid:durableId="475689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FF"/>
    <w:rsid w:val="00006C0A"/>
    <w:rsid w:val="000104BD"/>
    <w:rsid w:val="00020554"/>
    <w:rsid w:val="00030C15"/>
    <w:rsid w:val="00045F42"/>
    <w:rsid w:val="00081A42"/>
    <w:rsid w:val="00081B91"/>
    <w:rsid w:val="00096733"/>
    <w:rsid w:val="00100B76"/>
    <w:rsid w:val="001033AC"/>
    <w:rsid w:val="00113EAF"/>
    <w:rsid w:val="00141384"/>
    <w:rsid w:val="00145323"/>
    <w:rsid w:val="00156B77"/>
    <w:rsid w:val="001815ED"/>
    <w:rsid w:val="00181CC6"/>
    <w:rsid w:val="00195E57"/>
    <w:rsid w:val="001A2ADF"/>
    <w:rsid w:val="001B0ACB"/>
    <w:rsid w:val="001B2818"/>
    <w:rsid w:val="001B74AE"/>
    <w:rsid w:val="001C5CE2"/>
    <w:rsid w:val="001D3F26"/>
    <w:rsid w:val="001F2B95"/>
    <w:rsid w:val="002227D9"/>
    <w:rsid w:val="002273C9"/>
    <w:rsid w:val="00234B5A"/>
    <w:rsid w:val="00252273"/>
    <w:rsid w:val="0025518C"/>
    <w:rsid w:val="00255D32"/>
    <w:rsid w:val="00261B8C"/>
    <w:rsid w:val="00273625"/>
    <w:rsid w:val="0028108A"/>
    <w:rsid w:val="00291C8F"/>
    <w:rsid w:val="0029795B"/>
    <w:rsid w:val="002A064A"/>
    <w:rsid w:val="002A7222"/>
    <w:rsid w:val="002B4AFC"/>
    <w:rsid w:val="002E610F"/>
    <w:rsid w:val="00333071"/>
    <w:rsid w:val="003369D7"/>
    <w:rsid w:val="003378B8"/>
    <w:rsid w:val="00350C6C"/>
    <w:rsid w:val="00350EC7"/>
    <w:rsid w:val="00373215"/>
    <w:rsid w:val="003A4A1E"/>
    <w:rsid w:val="004100D1"/>
    <w:rsid w:val="0041219B"/>
    <w:rsid w:val="0042651F"/>
    <w:rsid w:val="0045617F"/>
    <w:rsid w:val="004772B5"/>
    <w:rsid w:val="004D2326"/>
    <w:rsid w:val="004D3839"/>
    <w:rsid w:val="004F04EE"/>
    <w:rsid w:val="004F1DEA"/>
    <w:rsid w:val="004F39A3"/>
    <w:rsid w:val="005065AA"/>
    <w:rsid w:val="005073B7"/>
    <w:rsid w:val="00514891"/>
    <w:rsid w:val="00523093"/>
    <w:rsid w:val="0055771D"/>
    <w:rsid w:val="00567DE0"/>
    <w:rsid w:val="0057404D"/>
    <w:rsid w:val="00576B8F"/>
    <w:rsid w:val="00590542"/>
    <w:rsid w:val="005B017C"/>
    <w:rsid w:val="005D7FFC"/>
    <w:rsid w:val="00630910"/>
    <w:rsid w:val="00674AEB"/>
    <w:rsid w:val="006C6B8E"/>
    <w:rsid w:val="006C736B"/>
    <w:rsid w:val="006F77D3"/>
    <w:rsid w:val="006F7DCC"/>
    <w:rsid w:val="00711C08"/>
    <w:rsid w:val="007347FF"/>
    <w:rsid w:val="00747E05"/>
    <w:rsid w:val="0077447A"/>
    <w:rsid w:val="007827F5"/>
    <w:rsid w:val="00790E00"/>
    <w:rsid w:val="007C598F"/>
    <w:rsid w:val="007D1CB2"/>
    <w:rsid w:val="007E40F4"/>
    <w:rsid w:val="00803909"/>
    <w:rsid w:val="00853759"/>
    <w:rsid w:val="00866E7C"/>
    <w:rsid w:val="00872F54"/>
    <w:rsid w:val="008A267F"/>
    <w:rsid w:val="008B12C9"/>
    <w:rsid w:val="008B7C9C"/>
    <w:rsid w:val="008D365D"/>
    <w:rsid w:val="008E7A63"/>
    <w:rsid w:val="00942DA7"/>
    <w:rsid w:val="00980E02"/>
    <w:rsid w:val="009A3D07"/>
    <w:rsid w:val="009C128C"/>
    <w:rsid w:val="009D25AE"/>
    <w:rsid w:val="009D2B11"/>
    <w:rsid w:val="009D38AE"/>
    <w:rsid w:val="009D725A"/>
    <w:rsid w:val="009E0569"/>
    <w:rsid w:val="009F6F1F"/>
    <w:rsid w:val="00A263B2"/>
    <w:rsid w:val="00A41691"/>
    <w:rsid w:val="00A57B25"/>
    <w:rsid w:val="00A725D8"/>
    <w:rsid w:val="00AE0527"/>
    <w:rsid w:val="00AF4039"/>
    <w:rsid w:val="00B0065B"/>
    <w:rsid w:val="00B009E2"/>
    <w:rsid w:val="00B02640"/>
    <w:rsid w:val="00B128A4"/>
    <w:rsid w:val="00B245A1"/>
    <w:rsid w:val="00B363C6"/>
    <w:rsid w:val="00B50F77"/>
    <w:rsid w:val="00B53C14"/>
    <w:rsid w:val="00B53D2F"/>
    <w:rsid w:val="00B70E4C"/>
    <w:rsid w:val="00B75E06"/>
    <w:rsid w:val="00BC0684"/>
    <w:rsid w:val="00BC11E9"/>
    <w:rsid w:val="00BC1F2B"/>
    <w:rsid w:val="00BD00BD"/>
    <w:rsid w:val="00BD2F60"/>
    <w:rsid w:val="00BD4326"/>
    <w:rsid w:val="00BD7C82"/>
    <w:rsid w:val="00C0306F"/>
    <w:rsid w:val="00C07AEB"/>
    <w:rsid w:val="00C12277"/>
    <w:rsid w:val="00C248A3"/>
    <w:rsid w:val="00C37449"/>
    <w:rsid w:val="00C41178"/>
    <w:rsid w:val="00C616D9"/>
    <w:rsid w:val="00C65836"/>
    <w:rsid w:val="00C725DE"/>
    <w:rsid w:val="00C81E2D"/>
    <w:rsid w:val="00CB249E"/>
    <w:rsid w:val="00CB26C0"/>
    <w:rsid w:val="00CF3BF2"/>
    <w:rsid w:val="00D02DDF"/>
    <w:rsid w:val="00D17241"/>
    <w:rsid w:val="00D51BAE"/>
    <w:rsid w:val="00D5294D"/>
    <w:rsid w:val="00D56A5A"/>
    <w:rsid w:val="00E14300"/>
    <w:rsid w:val="00E37041"/>
    <w:rsid w:val="00E71ADA"/>
    <w:rsid w:val="00E937BE"/>
    <w:rsid w:val="00E948F1"/>
    <w:rsid w:val="00EA0629"/>
    <w:rsid w:val="00EA2DCE"/>
    <w:rsid w:val="00EB3254"/>
    <w:rsid w:val="00ED3265"/>
    <w:rsid w:val="00F20C8F"/>
    <w:rsid w:val="00F26EA6"/>
    <w:rsid w:val="00F8228A"/>
    <w:rsid w:val="00FA6A75"/>
    <w:rsid w:val="00FD29D8"/>
    <w:rsid w:val="00FE29FF"/>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D23A"/>
  <w15:chartTrackingRefBased/>
  <w15:docId w15:val="{7B12A2A3-E46B-4F3B-A321-1A6199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0" w:after="2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next w:val="BodyTextGrey"/>
    <w:link w:val="Heading1Char"/>
    <w:qFormat/>
    <w:rsid w:val="00FE29FF"/>
    <w:pPr>
      <w:keepNext/>
      <w:keepLines/>
      <w:spacing w:before="140" w:after="140" w:line="360" w:lineRule="atLeast"/>
      <w:outlineLvl w:val="0"/>
    </w:pPr>
    <w:rPr>
      <w:rFonts w:ascii="Arial" w:eastAsiaTheme="majorEastAsia" w:hAnsi="Arial" w:cstheme="majorBidi"/>
      <w:color w:val="3FA6CC"/>
      <w:kern w:val="28"/>
      <w:sz w:val="36"/>
    </w:rPr>
  </w:style>
  <w:style w:type="paragraph" w:styleId="Heading2">
    <w:name w:val="heading 2"/>
    <w:next w:val="BodyTextGrey"/>
    <w:link w:val="Heading2Char"/>
    <w:qFormat/>
    <w:rsid w:val="00FE29FF"/>
    <w:pPr>
      <w:keepNext/>
      <w:keepLines/>
      <w:spacing w:before="0" w:after="0" w:line="280" w:lineRule="atLeast"/>
      <w:outlineLvl w:val="1"/>
    </w:pPr>
    <w:rPr>
      <w:rFonts w:ascii="Arial" w:eastAsiaTheme="majorEastAsia" w:hAnsi="Arial" w:cs="Arial"/>
      <w:b/>
      <w:iCs/>
      <w:color w:val="6EC040" w:themeColor="text2"/>
    </w:rPr>
  </w:style>
  <w:style w:type="paragraph" w:styleId="Heading3">
    <w:name w:val="heading 3"/>
    <w:next w:val="BodyTextGrey"/>
    <w:link w:val="Heading3Char"/>
    <w:qFormat/>
    <w:rsid w:val="00FE29FF"/>
    <w:pPr>
      <w:keepNext/>
      <w:keepLines/>
      <w:spacing w:line="280" w:lineRule="atLeast"/>
      <w:outlineLvl w:val="2"/>
    </w:pPr>
    <w:rPr>
      <w:rFonts w:ascii="Arial" w:eastAsiaTheme="majorEastAsia" w:hAnsi="Arial" w:cs="Arial"/>
      <w:b/>
      <w:iCs/>
      <w:color w:val="3FA6CC" w:themeColor="text1"/>
    </w:rPr>
  </w:style>
  <w:style w:type="paragraph" w:styleId="Heading4">
    <w:name w:val="heading 4"/>
    <w:next w:val="BodyTextGrey"/>
    <w:link w:val="Heading4Char"/>
    <w:qFormat/>
    <w:rsid w:val="00FE29FF"/>
    <w:pPr>
      <w:tabs>
        <w:tab w:val="num" w:pos="0"/>
      </w:tabs>
      <w:spacing w:line="280" w:lineRule="atLeast"/>
      <w:outlineLvl w:val="3"/>
    </w:pPr>
    <w:rPr>
      <w:rFonts w:ascii="Arial" w:hAnsi="Arial" w:cs="Arial"/>
      <w:b/>
      <w:iCs/>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
    <w:name w:val="Green"/>
    <w:basedOn w:val="BodyText"/>
    <w:next w:val="BodyTextGrey"/>
    <w:uiPriority w:val="2"/>
    <w:qFormat/>
    <w:rsid w:val="00FE29FF"/>
    <w:pPr>
      <w:spacing w:after="200" w:line="280" w:lineRule="atLeast"/>
    </w:pPr>
    <w:rPr>
      <w:rFonts w:ascii="Arial" w:hAnsi="Arial" w:cs="Arial"/>
      <w:iCs/>
      <w:color w:val="6EC040" w:themeColor="text2"/>
    </w:rPr>
  </w:style>
  <w:style w:type="paragraph" w:styleId="BodyText">
    <w:name w:val="Body Text"/>
    <w:basedOn w:val="Normal"/>
    <w:link w:val="BodyTextChar"/>
    <w:uiPriority w:val="99"/>
    <w:semiHidden/>
    <w:unhideWhenUsed/>
    <w:rsid w:val="00FE29FF"/>
    <w:pPr>
      <w:spacing w:after="120"/>
    </w:pPr>
  </w:style>
  <w:style w:type="character" w:customStyle="1" w:styleId="BodyTextChar">
    <w:name w:val="Body Text Char"/>
    <w:basedOn w:val="DefaultParagraphFont"/>
    <w:link w:val="BodyText"/>
    <w:uiPriority w:val="99"/>
    <w:semiHidden/>
    <w:rsid w:val="00FE29FF"/>
  </w:style>
  <w:style w:type="paragraph" w:customStyle="1" w:styleId="Heading1Num">
    <w:name w:val="Heading 1 Num"/>
    <w:basedOn w:val="Heading1"/>
    <w:next w:val="BodyTextGrey"/>
    <w:uiPriority w:val="1"/>
    <w:qFormat/>
    <w:rsid w:val="00FE29FF"/>
    <w:pPr>
      <w:numPr>
        <w:numId w:val="8"/>
      </w:numPr>
    </w:pPr>
    <w:rPr>
      <w:rFonts w:eastAsia="Times New Roman" w:cs="Times New Roman"/>
    </w:rPr>
  </w:style>
  <w:style w:type="character" w:customStyle="1" w:styleId="Heading1Char">
    <w:name w:val="Heading 1 Char"/>
    <w:basedOn w:val="DefaultParagraphFont"/>
    <w:link w:val="Heading1"/>
    <w:rsid w:val="00FE29FF"/>
    <w:rPr>
      <w:rFonts w:ascii="Arial" w:eastAsiaTheme="majorEastAsia" w:hAnsi="Arial" w:cstheme="majorBidi"/>
      <w:color w:val="3FA6CC"/>
      <w:kern w:val="28"/>
      <w:sz w:val="36"/>
    </w:rPr>
  </w:style>
  <w:style w:type="paragraph" w:customStyle="1" w:styleId="Heading2Num">
    <w:name w:val="Heading 2 Num"/>
    <w:basedOn w:val="Heading2"/>
    <w:next w:val="BodyTextGrey"/>
    <w:uiPriority w:val="1"/>
    <w:qFormat/>
    <w:rsid w:val="00FE29FF"/>
    <w:pPr>
      <w:numPr>
        <w:ilvl w:val="1"/>
        <w:numId w:val="8"/>
      </w:numPr>
    </w:pPr>
    <w:rPr>
      <w:rFonts w:eastAsia="Times New Roman"/>
    </w:rPr>
  </w:style>
  <w:style w:type="character" w:customStyle="1" w:styleId="Heading2Char">
    <w:name w:val="Heading 2 Char"/>
    <w:basedOn w:val="DefaultParagraphFont"/>
    <w:link w:val="Heading2"/>
    <w:rsid w:val="00FE29FF"/>
    <w:rPr>
      <w:rFonts w:ascii="Arial" w:eastAsiaTheme="majorEastAsia" w:hAnsi="Arial" w:cs="Arial"/>
      <w:b/>
      <w:iCs/>
      <w:color w:val="6EC040" w:themeColor="text2"/>
    </w:rPr>
  </w:style>
  <w:style w:type="paragraph" w:customStyle="1" w:styleId="Heading3Num">
    <w:name w:val="Heading 3 Num"/>
    <w:basedOn w:val="Heading3"/>
    <w:next w:val="BodyTextGrey"/>
    <w:uiPriority w:val="1"/>
    <w:qFormat/>
    <w:rsid w:val="00FE29FF"/>
    <w:pPr>
      <w:numPr>
        <w:ilvl w:val="2"/>
        <w:numId w:val="8"/>
      </w:numPr>
    </w:pPr>
    <w:rPr>
      <w:rFonts w:eastAsia="Times New Roman"/>
    </w:rPr>
  </w:style>
  <w:style w:type="character" w:customStyle="1" w:styleId="Heading3Char">
    <w:name w:val="Heading 3 Char"/>
    <w:basedOn w:val="DefaultParagraphFont"/>
    <w:link w:val="Heading3"/>
    <w:rsid w:val="00FE29FF"/>
    <w:rPr>
      <w:rFonts w:ascii="Arial" w:eastAsiaTheme="majorEastAsia" w:hAnsi="Arial" w:cs="Arial"/>
      <w:b/>
      <w:iCs/>
      <w:color w:val="3FA6CC" w:themeColor="text1"/>
    </w:rPr>
  </w:style>
  <w:style w:type="paragraph" w:customStyle="1" w:styleId="Appendix1">
    <w:name w:val="Appendix 1"/>
    <w:basedOn w:val="Heading1"/>
    <w:next w:val="BodyTextGrey"/>
    <w:uiPriority w:val="3"/>
    <w:qFormat/>
    <w:rsid w:val="00FE29FF"/>
    <w:pPr>
      <w:pageBreakBefore/>
    </w:pPr>
    <w:rPr>
      <w:rFonts w:eastAsia="Times New Roman" w:cs="Times New Roman"/>
    </w:rPr>
  </w:style>
  <w:style w:type="paragraph" w:customStyle="1" w:styleId="Appendix2">
    <w:name w:val="Appendix 2"/>
    <w:basedOn w:val="Heading2"/>
    <w:next w:val="BodyTextGrey"/>
    <w:uiPriority w:val="3"/>
    <w:qFormat/>
    <w:rsid w:val="00FE29FF"/>
    <w:rPr>
      <w:rFonts w:eastAsia="Times New Roman"/>
      <w:szCs w:val="22"/>
    </w:rPr>
  </w:style>
  <w:style w:type="paragraph" w:customStyle="1" w:styleId="Appendix3">
    <w:name w:val="Appendix 3"/>
    <w:basedOn w:val="Heading3"/>
    <w:next w:val="BodyTextGrey"/>
    <w:uiPriority w:val="3"/>
    <w:qFormat/>
    <w:rsid w:val="00FE29FF"/>
    <w:rPr>
      <w:rFonts w:eastAsia="Times New Roman"/>
    </w:rPr>
  </w:style>
  <w:style w:type="paragraph" w:customStyle="1" w:styleId="Blue">
    <w:name w:val="Blue"/>
    <w:basedOn w:val="BodyText"/>
    <w:next w:val="BodyTextGrey"/>
    <w:uiPriority w:val="2"/>
    <w:qFormat/>
    <w:rsid w:val="00FE29FF"/>
    <w:pPr>
      <w:spacing w:after="200" w:line="280" w:lineRule="atLeast"/>
    </w:pPr>
    <w:rPr>
      <w:rFonts w:ascii="Arial" w:hAnsi="Arial" w:cs="Arial"/>
      <w:iCs/>
      <w:color w:val="3FA6CC" w:themeColor="text1"/>
    </w:rPr>
  </w:style>
  <w:style w:type="paragraph" w:customStyle="1" w:styleId="BodyTextGrey">
    <w:name w:val="Body Text Grey"/>
    <w:basedOn w:val="BodyText"/>
    <w:qFormat/>
    <w:rsid w:val="00FE29FF"/>
    <w:pPr>
      <w:spacing w:after="200" w:line="280" w:lineRule="atLeast"/>
    </w:pPr>
    <w:rPr>
      <w:rFonts w:ascii="Arial" w:hAnsi="Arial" w:cs="Arial"/>
      <w:iCs/>
      <w:color w:val="455560"/>
    </w:rPr>
  </w:style>
  <w:style w:type="paragraph" w:customStyle="1" w:styleId="BulletHymans">
    <w:name w:val="Bullet Hymans"/>
    <w:uiPriority w:val="2"/>
    <w:qFormat/>
    <w:rsid w:val="00FE29FF"/>
    <w:pPr>
      <w:numPr>
        <w:numId w:val="9"/>
      </w:numPr>
      <w:spacing w:after="140" w:line="280" w:lineRule="exact"/>
    </w:pPr>
    <w:rPr>
      <w:rFonts w:ascii="Arial" w:hAnsi="Arial" w:cs="Arial"/>
      <w:iCs/>
      <w:color w:val="455560"/>
    </w:rPr>
  </w:style>
  <w:style w:type="paragraph" w:customStyle="1" w:styleId="NumberHymans">
    <w:name w:val="Number Hymans"/>
    <w:uiPriority w:val="2"/>
    <w:qFormat/>
    <w:rsid w:val="00FE29FF"/>
    <w:pPr>
      <w:numPr>
        <w:numId w:val="10"/>
      </w:numPr>
      <w:spacing w:after="140" w:line="280" w:lineRule="exact"/>
    </w:pPr>
    <w:rPr>
      <w:rFonts w:ascii="Arial" w:hAnsi="Arial" w:cs="Arial"/>
      <w:iCs/>
      <w:color w:val="455560"/>
    </w:rPr>
  </w:style>
  <w:style w:type="paragraph" w:customStyle="1" w:styleId="White">
    <w:name w:val="White"/>
    <w:basedOn w:val="BodyText"/>
    <w:next w:val="BodyTextGrey"/>
    <w:uiPriority w:val="2"/>
    <w:qFormat/>
    <w:rsid w:val="00FE29FF"/>
    <w:pPr>
      <w:spacing w:after="200" w:line="280" w:lineRule="atLeast"/>
    </w:pPr>
    <w:rPr>
      <w:rFonts w:ascii="Arial" w:hAnsi="Arial" w:cs="Arial"/>
      <w:iCs/>
      <w:color w:val="FFFFFF" w:themeColor="background1"/>
    </w:rPr>
  </w:style>
  <w:style w:type="character" w:customStyle="1" w:styleId="Heading4Char">
    <w:name w:val="Heading 4 Char"/>
    <w:basedOn w:val="DefaultParagraphFont"/>
    <w:link w:val="Heading4"/>
    <w:rsid w:val="00FE29FF"/>
    <w:rPr>
      <w:rFonts w:ascii="Arial" w:hAnsi="Arial" w:cs="Arial"/>
      <w:b/>
      <w:iCs/>
      <w:color w:val="455560"/>
    </w:rPr>
  </w:style>
  <w:style w:type="paragraph" w:customStyle="1" w:styleId="ptxt">
    <w:name w:val="ptxt"/>
    <w:basedOn w:val="Normal"/>
    <w:rsid w:val="00261B8C"/>
    <w:pPr>
      <w:spacing w:before="100" w:beforeAutospacing="1" w:after="100" w:afterAutospacing="1"/>
    </w:pPr>
    <w:rPr>
      <w:sz w:val="24"/>
      <w:szCs w:val="24"/>
      <w:lang w:eastAsia="en-GB"/>
    </w:rPr>
  </w:style>
  <w:style w:type="paragraph" w:styleId="Revision">
    <w:name w:val="Revision"/>
    <w:hidden/>
    <w:uiPriority w:val="99"/>
    <w:semiHidden/>
    <w:rsid w:val="00EB3254"/>
    <w:pPr>
      <w:spacing w:before="0" w:after="0"/>
    </w:pPr>
  </w:style>
  <w:style w:type="paragraph" w:styleId="FootnoteText">
    <w:name w:val="footnote text"/>
    <w:basedOn w:val="Normal"/>
    <w:link w:val="FootnoteTextChar"/>
    <w:uiPriority w:val="99"/>
    <w:semiHidden/>
    <w:unhideWhenUsed/>
    <w:rsid w:val="00006C0A"/>
    <w:pPr>
      <w:spacing w:before="0" w:after="0"/>
    </w:pPr>
  </w:style>
  <w:style w:type="character" w:customStyle="1" w:styleId="FootnoteTextChar">
    <w:name w:val="Footnote Text Char"/>
    <w:basedOn w:val="DefaultParagraphFont"/>
    <w:link w:val="FootnoteText"/>
    <w:uiPriority w:val="99"/>
    <w:semiHidden/>
    <w:rsid w:val="00006C0A"/>
  </w:style>
  <w:style w:type="character" w:styleId="FootnoteReference">
    <w:name w:val="footnote reference"/>
    <w:basedOn w:val="DefaultParagraphFont"/>
    <w:uiPriority w:val="99"/>
    <w:semiHidden/>
    <w:unhideWhenUsed/>
    <w:rsid w:val="00006C0A"/>
    <w:rPr>
      <w:vertAlign w:val="superscript"/>
    </w:rPr>
  </w:style>
  <w:style w:type="table" w:styleId="TableGrid">
    <w:name w:val="Table Grid"/>
    <w:basedOn w:val="TableNormal"/>
    <w:uiPriority w:val="39"/>
    <w:rsid w:val="00C07A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45323"/>
    <w:pPr>
      <w:tabs>
        <w:tab w:val="center" w:pos="4513"/>
        <w:tab w:val="right" w:pos="9026"/>
      </w:tabs>
      <w:spacing w:before="0" w:after="0"/>
    </w:pPr>
  </w:style>
  <w:style w:type="character" w:customStyle="1" w:styleId="HeaderChar">
    <w:name w:val="Header Char"/>
    <w:basedOn w:val="DefaultParagraphFont"/>
    <w:link w:val="Header"/>
    <w:uiPriority w:val="99"/>
    <w:semiHidden/>
    <w:rsid w:val="00145323"/>
  </w:style>
  <w:style w:type="paragraph" w:styleId="Footer">
    <w:name w:val="footer"/>
    <w:basedOn w:val="Normal"/>
    <w:link w:val="FooterChar"/>
    <w:uiPriority w:val="99"/>
    <w:semiHidden/>
    <w:unhideWhenUsed/>
    <w:rsid w:val="00145323"/>
    <w:pPr>
      <w:tabs>
        <w:tab w:val="center" w:pos="4513"/>
        <w:tab w:val="right" w:pos="9026"/>
      </w:tabs>
      <w:spacing w:before="0" w:after="0"/>
    </w:pPr>
  </w:style>
  <w:style w:type="character" w:customStyle="1" w:styleId="FooterChar">
    <w:name w:val="Footer Char"/>
    <w:basedOn w:val="DefaultParagraphFont"/>
    <w:link w:val="Footer"/>
    <w:uiPriority w:val="99"/>
    <w:semiHidden/>
    <w:rsid w:val="00145323"/>
  </w:style>
  <w:style w:type="character" w:styleId="CommentReference">
    <w:name w:val="annotation reference"/>
    <w:basedOn w:val="DefaultParagraphFont"/>
    <w:uiPriority w:val="99"/>
    <w:semiHidden/>
    <w:unhideWhenUsed/>
    <w:rsid w:val="005073B7"/>
    <w:rPr>
      <w:sz w:val="16"/>
      <w:szCs w:val="16"/>
    </w:rPr>
  </w:style>
  <w:style w:type="paragraph" w:styleId="CommentText">
    <w:name w:val="annotation text"/>
    <w:basedOn w:val="Normal"/>
    <w:link w:val="CommentTextChar"/>
    <w:uiPriority w:val="99"/>
    <w:unhideWhenUsed/>
    <w:rsid w:val="005073B7"/>
  </w:style>
  <w:style w:type="character" w:customStyle="1" w:styleId="CommentTextChar">
    <w:name w:val="Comment Text Char"/>
    <w:basedOn w:val="DefaultParagraphFont"/>
    <w:link w:val="CommentText"/>
    <w:uiPriority w:val="99"/>
    <w:rsid w:val="005073B7"/>
  </w:style>
  <w:style w:type="paragraph" w:styleId="CommentSubject">
    <w:name w:val="annotation subject"/>
    <w:basedOn w:val="CommentText"/>
    <w:next w:val="CommentText"/>
    <w:link w:val="CommentSubjectChar"/>
    <w:uiPriority w:val="99"/>
    <w:semiHidden/>
    <w:unhideWhenUsed/>
    <w:rsid w:val="005073B7"/>
    <w:rPr>
      <w:b/>
      <w:bCs/>
    </w:rPr>
  </w:style>
  <w:style w:type="character" w:customStyle="1" w:styleId="CommentSubjectChar">
    <w:name w:val="Comment Subject Char"/>
    <w:basedOn w:val="CommentTextChar"/>
    <w:link w:val="CommentSubject"/>
    <w:uiPriority w:val="99"/>
    <w:semiHidden/>
    <w:rsid w:val="005073B7"/>
    <w:rPr>
      <w:b/>
      <w:bCs/>
    </w:rPr>
  </w:style>
  <w:style w:type="paragraph" w:styleId="EndnoteText">
    <w:name w:val="endnote text"/>
    <w:basedOn w:val="Normal"/>
    <w:link w:val="EndnoteTextChar"/>
    <w:uiPriority w:val="99"/>
    <w:semiHidden/>
    <w:unhideWhenUsed/>
    <w:rsid w:val="00A725D8"/>
    <w:pPr>
      <w:spacing w:before="0" w:after="0"/>
    </w:pPr>
  </w:style>
  <w:style w:type="character" w:customStyle="1" w:styleId="EndnoteTextChar">
    <w:name w:val="Endnote Text Char"/>
    <w:basedOn w:val="DefaultParagraphFont"/>
    <w:link w:val="EndnoteText"/>
    <w:uiPriority w:val="99"/>
    <w:semiHidden/>
    <w:rsid w:val="00A725D8"/>
  </w:style>
  <w:style w:type="character" w:styleId="EndnoteReference">
    <w:name w:val="endnote reference"/>
    <w:basedOn w:val="DefaultParagraphFont"/>
    <w:uiPriority w:val="99"/>
    <w:semiHidden/>
    <w:unhideWhenUsed/>
    <w:rsid w:val="00A725D8"/>
    <w:rPr>
      <w:vertAlign w:val="superscript"/>
    </w:rPr>
  </w:style>
  <w:style w:type="character" w:styleId="Emphasis">
    <w:name w:val="Emphasis"/>
    <w:basedOn w:val="DefaultParagraphFont"/>
    <w:uiPriority w:val="20"/>
    <w:qFormat/>
    <w:rsid w:val="00A2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605">
      <w:bodyDiv w:val="1"/>
      <w:marLeft w:val="0"/>
      <w:marRight w:val="0"/>
      <w:marTop w:val="0"/>
      <w:marBottom w:val="0"/>
      <w:divBdr>
        <w:top w:val="none" w:sz="0" w:space="0" w:color="auto"/>
        <w:left w:val="none" w:sz="0" w:space="0" w:color="auto"/>
        <w:bottom w:val="none" w:sz="0" w:space="0" w:color="auto"/>
        <w:right w:val="none" w:sz="0" w:space="0" w:color="auto"/>
      </w:divBdr>
    </w:div>
    <w:div w:id="406389429">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620646759">
      <w:bodyDiv w:val="1"/>
      <w:marLeft w:val="0"/>
      <w:marRight w:val="0"/>
      <w:marTop w:val="0"/>
      <w:marBottom w:val="0"/>
      <w:divBdr>
        <w:top w:val="none" w:sz="0" w:space="0" w:color="auto"/>
        <w:left w:val="none" w:sz="0" w:space="0" w:color="auto"/>
        <w:bottom w:val="none" w:sz="0" w:space="0" w:color="auto"/>
        <w:right w:val="none" w:sz="0" w:space="0" w:color="auto"/>
      </w:divBdr>
    </w:div>
    <w:div w:id="652100251">
      <w:bodyDiv w:val="1"/>
      <w:marLeft w:val="0"/>
      <w:marRight w:val="0"/>
      <w:marTop w:val="0"/>
      <w:marBottom w:val="0"/>
      <w:divBdr>
        <w:top w:val="none" w:sz="0" w:space="0" w:color="auto"/>
        <w:left w:val="none" w:sz="0" w:space="0" w:color="auto"/>
        <w:bottom w:val="none" w:sz="0" w:space="0" w:color="auto"/>
        <w:right w:val="none" w:sz="0" w:space="0" w:color="auto"/>
      </w:divBdr>
    </w:div>
    <w:div w:id="940261860">
      <w:bodyDiv w:val="1"/>
      <w:marLeft w:val="0"/>
      <w:marRight w:val="0"/>
      <w:marTop w:val="0"/>
      <w:marBottom w:val="0"/>
      <w:divBdr>
        <w:top w:val="none" w:sz="0" w:space="0" w:color="auto"/>
        <w:left w:val="none" w:sz="0" w:space="0" w:color="auto"/>
        <w:bottom w:val="none" w:sz="0" w:space="0" w:color="auto"/>
        <w:right w:val="none" w:sz="0" w:space="0" w:color="auto"/>
      </w:divBdr>
    </w:div>
    <w:div w:id="1013145528">
      <w:bodyDiv w:val="1"/>
      <w:marLeft w:val="0"/>
      <w:marRight w:val="0"/>
      <w:marTop w:val="0"/>
      <w:marBottom w:val="0"/>
      <w:divBdr>
        <w:top w:val="none" w:sz="0" w:space="0" w:color="auto"/>
        <w:left w:val="none" w:sz="0" w:space="0" w:color="auto"/>
        <w:bottom w:val="none" w:sz="0" w:space="0" w:color="auto"/>
        <w:right w:val="none" w:sz="0" w:space="0" w:color="auto"/>
      </w:divBdr>
    </w:div>
    <w:div w:id="1316641614">
      <w:bodyDiv w:val="1"/>
      <w:marLeft w:val="0"/>
      <w:marRight w:val="0"/>
      <w:marTop w:val="0"/>
      <w:marBottom w:val="0"/>
      <w:divBdr>
        <w:top w:val="none" w:sz="0" w:space="0" w:color="auto"/>
        <w:left w:val="none" w:sz="0" w:space="0" w:color="auto"/>
        <w:bottom w:val="none" w:sz="0" w:space="0" w:color="auto"/>
        <w:right w:val="none" w:sz="0" w:space="0" w:color="auto"/>
      </w:divBdr>
    </w:div>
    <w:div w:id="1473210974">
      <w:bodyDiv w:val="1"/>
      <w:marLeft w:val="0"/>
      <w:marRight w:val="0"/>
      <w:marTop w:val="0"/>
      <w:marBottom w:val="0"/>
      <w:divBdr>
        <w:top w:val="none" w:sz="0" w:space="0" w:color="auto"/>
        <w:left w:val="none" w:sz="0" w:space="0" w:color="auto"/>
        <w:bottom w:val="none" w:sz="0" w:space="0" w:color="auto"/>
        <w:right w:val="none" w:sz="0" w:space="0" w:color="auto"/>
      </w:divBdr>
    </w:div>
    <w:div w:id="1754085239">
      <w:bodyDiv w:val="1"/>
      <w:marLeft w:val="0"/>
      <w:marRight w:val="0"/>
      <w:marTop w:val="0"/>
      <w:marBottom w:val="0"/>
      <w:divBdr>
        <w:top w:val="none" w:sz="0" w:space="0" w:color="auto"/>
        <w:left w:val="none" w:sz="0" w:space="0" w:color="auto"/>
        <w:bottom w:val="none" w:sz="0" w:space="0" w:color="auto"/>
        <w:right w:val="none" w:sz="0" w:space="0" w:color="auto"/>
      </w:divBdr>
    </w:div>
    <w:div w:id="1818764560">
      <w:bodyDiv w:val="1"/>
      <w:marLeft w:val="0"/>
      <w:marRight w:val="0"/>
      <w:marTop w:val="0"/>
      <w:marBottom w:val="0"/>
      <w:divBdr>
        <w:top w:val="none" w:sz="0" w:space="0" w:color="auto"/>
        <w:left w:val="none" w:sz="0" w:space="0" w:color="auto"/>
        <w:bottom w:val="none" w:sz="0" w:space="0" w:color="auto"/>
        <w:right w:val="none" w:sz="0" w:space="0" w:color="auto"/>
      </w:divBdr>
    </w:div>
    <w:div w:id="2059164240">
      <w:bodyDiv w:val="1"/>
      <w:marLeft w:val="0"/>
      <w:marRight w:val="0"/>
      <w:marTop w:val="0"/>
      <w:marBottom w:val="0"/>
      <w:divBdr>
        <w:top w:val="none" w:sz="0" w:space="0" w:color="auto"/>
        <w:left w:val="none" w:sz="0" w:space="0" w:color="auto"/>
        <w:bottom w:val="none" w:sz="0" w:space="0" w:color="auto"/>
        <w:right w:val="none" w:sz="0" w:space="0" w:color="auto"/>
      </w:divBdr>
    </w:div>
    <w:div w:id="2102407201">
      <w:bodyDiv w:val="1"/>
      <w:marLeft w:val="0"/>
      <w:marRight w:val="0"/>
      <w:marTop w:val="0"/>
      <w:marBottom w:val="0"/>
      <w:divBdr>
        <w:top w:val="none" w:sz="0" w:space="0" w:color="auto"/>
        <w:left w:val="none" w:sz="0" w:space="0" w:color="auto"/>
        <w:bottom w:val="none" w:sz="0" w:space="0" w:color="auto"/>
        <w:right w:val="none" w:sz="0" w:space="0" w:color="auto"/>
      </w:divBdr>
    </w:div>
    <w:div w:id="21438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4D41D9A5DC3D43B63387E75CD801F0" ma:contentTypeVersion="4" ma:contentTypeDescription="Create a new document." ma:contentTypeScope="" ma:versionID="327dba43a716da10980be023d104376e">
  <xsd:schema xmlns:xsd="http://www.w3.org/2001/XMLSchema" xmlns:xs="http://www.w3.org/2001/XMLSchema" xmlns:p="http://schemas.microsoft.com/office/2006/metadata/properties" xmlns:ns2="12838679-a8a7-4073-8aa4-1681fb2f1dd5" targetNamespace="http://schemas.microsoft.com/office/2006/metadata/properties" ma:root="true" ma:fieldsID="5fae2640f82ca8a4ec5243506d643582" ns2:_="">
    <xsd:import namespace="12838679-a8a7-4073-8aa4-1681fb2f1d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8679-a8a7-4073-8aa4-1681fb2f1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87D6-F171-4F4C-A355-47B089A946C1}">
  <ds:schemaRefs>
    <ds:schemaRef ds:uri="http://schemas.openxmlformats.org/officeDocument/2006/bibliography"/>
  </ds:schemaRefs>
</ds:datastoreItem>
</file>

<file path=customXml/itemProps2.xml><?xml version="1.0" encoding="utf-8"?>
<ds:datastoreItem xmlns:ds="http://schemas.openxmlformats.org/officeDocument/2006/customXml" ds:itemID="{44D6C641-CBED-4072-BD4A-09F97AE17F3B}">
  <ds:schemaRefs>
    <ds:schemaRef ds:uri="http://schemas.microsoft.com/sharepoint/v3/contenttype/forms"/>
  </ds:schemaRefs>
</ds:datastoreItem>
</file>

<file path=customXml/itemProps3.xml><?xml version="1.0" encoding="utf-8"?>
<ds:datastoreItem xmlns:ds="http://schemas.openxmlformats.org/officeDocument/2006/customXml" ds:itemID="{DE2F9984-EE76-4A2B-8927-F1EF6AEFB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69EAA-FB60-43EC-A724-86FC7235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8679-a8a7-4073-8aa4-1681fb2f1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Colvin</dc:creator>
  <cp:keywords/>
  <dc:description/>
  <cp:lastModifiedBy>Lorna Paton</cp:lastModifiedBy>
  <cp:revision>2</cp:revision>
  <dcterms:created xsi:type="dcterms:W3CDTF">2023-04-20T15:16:00Z</dcterms:created>
  <dcterms:modified xsi:type="dcterms:W3CDTF">2023-04-20T15:16:00Z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0x0101005D4D41D9A5DC3D43B63387E75CD801F0</vt:lpwstr>
  </property>
</Properties>
</file>